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adjustRightInd w:val="0"/>
        <w:snapToGrid w:val="0"/>
        <w:spacing w:line="360" w:lineRule="auto"/>
        <w:ind w:firstLine="198" w:firstLineChars="62"/>
        <w:outlineLvl w:val="0"/>
        <w:rPr>
          <w:rFonts w:ascii="黑体" w:hAnsi="黑体" w:eastAsia="黑体" w:cs="Times New Roman"/>
          <w:bCs/>
          <w:kern w:val="44"/>
          <w:sz w:val="32"/>
          <w:szCs w:val="44"/>
        </w:rPr>
      </w:pPr>
      <w:bookmarkStart w:id="0" w:name="_Toc68024203"/>
      <w:r>
        <w:rPr>
          <w:rFonts w:ascii="黑体" w:hAnsi="黑体" w:eastAsia="黑体" w:cs="Times New Roman"/>
          <w:bCs/>
          <w:kern w:val="44"/>
          <w:sz w:val="32"/>
          <w:szCs w:val="44"/>
        </w:rPr>
        <w:t>附件2</w:t>
      </w:r>
      <w:bookmarkEnd w:id="0"/>
    </w:p>
    <w:p>
      <w:pPr>
        <w:widowControl/>
        <w:adjustRightInd w:val="0"/>
        <w:snapToGrid w:val="0"/>
        <w:jc w:val="center"/>
        <w:rPr>
          <w:rFonts w:ascii="方正小标宋简体" w:hAnsi="Times New Roman" w:eastAsia="方正小标宋简体" w:cs="Times New Roman"/>
          <w:sz w:val="36"/>
          <w:szCs w:val="36"/>
        </w:rPr>
      </w:pPr>
      <w:r>
        <w:rPr>
          <w:rFonts w:hint="eastAsia" w:ascii="方正小标宋简体" w:hAnsi="Times New Roman" w:eastAsia="方正小标宋简体" w:cs="Times New Roman"/>
          <w:sz w:val="36"/>
          <w:szCs w:val="36"/>
        </w:rPr>
        <w:t>2020年药审中心审评通过的境外生产原研药</w:t>
      </w:r>
    </w:p>
    <w:p>
      <w:pPr>
        <w:widowControl/>
        <w:adjustRightInd w:val="0"/>
        <w:snapToGrid w:val="0"/>
        <w:jc w:val="center"/>
        <w:rPr>
          <w:rFonts w:ascii="方正小标宋简体" w:hAnsi="Times New Roman" w:eastAsia="方正小标宋简体" w:cs="Times New Roman"/>
          <w:sz w:val="32"/>
          <w:szCs w:val="36"/>
        </w:rPr>
      </w:pPr>
    </w:p>
    <w:tbl>
      <w:tblPr>
        <w:tblStyle w:val="4"/>
        <w:tblW w:w="9639"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09"/>
        <w:gridCol w:w="4148"/>
        <w:gridCol w:w="468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5" w:hRule="atLeast"/>
          <w:tblHeader/>
          <w:jc w:val="center"/>
        </w:trPr>
        <w:tc>
          <w:tcPr>
            <w:tcW w:w="809" w:type="dxa"/>
            <w:shd w:val="clear" w:color="auto" w:fill="auto"/>
            <w:vAlign w:val="center"/>
          </w:tcPr>
          <w:p>
            <w:pPr>
              <w:widowControl/>
              <w:adjustRightInd w:val="0"/>
              <w:snapToGrid w:val="0"/>
              <w:jc w:val="center"/>
              <w:rPr>
                <w:rFonts w:ascii="黑体" w:hAnsi="黑体" w:eastAsia="黑体" w:cs="Times New Roman"/>
                <w:bCs/>
                <w:color w:val="000000"/>
                <w:kern w:val="0"/>
                <w:sz w:val="24"/>
                <w:szCs w:val="24"/>
              </w:rPr>
            </w:pPr>
            <w:r>
              <w:rPr>
                <w:rFonts w:ascii="黑体" w:hAnsi="黑体" w:eastAsia="黑体" w:cs="Times New Roman"/>
                <w:bCs/>
                <w:color w:val="000000"/>
                <w:kern w:val="0"/>
                <w:sz w:val="24"/>
                <w:szCs w:val="24"/>
              </w:rPr>
              <w:t>序号</w:t>
            </w:r>
          </w:p>
        </w:tc>
        <w:tc>
          <w:tcPr>
            <w:tcW w:w="4148" w:type="dxa"/>
            <w:shd w:val="clear" w:color="auto" w:fill="auto"/>
            <w:vAlign w:val="center"/>
          </w:tcPr>
          <w:p>
            <w:pPr>
              <w:widowControl/>
              <w:snapToGrid w:val="0"/>
              <w:jc w:val="center"/>
              <w:rPr>
                <w:rFonts w:ascii="黑体" w:hAnsi="黑体" w:eastAsia="黑体" w:cs="Times New Roman"/>
                <w:bCs/>
                <w:color w:val="000000"/>
                <w:kern w:val="0"/>
                <w:sz w:val="24"/>
                <w:szCs w:val="24"/>
              </w:rPr>
            </w:pPr>
            <w:r>
              <w:rPr>
                <w:rFonts w:ascii="黑体" w:hAnsi="黑体" w:eastAsia="黑体" w:cs="Times New Roman"/>
                <w:bCs/>
                <w:color w:val="000000"/>
                <w:kern w:val="0"/>
                <w:sz w:val="24"/>
                <w:szCs w:val="24"/>
              </w:rPr>
              <w:t>药品名称</w:t>
            </w:r>
          </w:p>
        </w:tc>
        <w:tc>
          <w:tcPr>
            <w:tcW w:w="4682" w:type="dxa"/>
            <w:shd w:val="clear" w:color="auto" w:fill="auto"/>
            <w:vAlign w:val="center"/>
          </w:tcPr>
          <w:p>
            <w:pPr>
              <w:widowControl/>
              <w:snapToGrid w:val="0"/>
              <w:jc w:val="center"/>
              <w:rPr>
                <w:rFonts w:ascii="黑体" w:hAnsi="黑体" w:eastAsia="黑体" w:cs="Times New Roman"/>
                <w:bCs/>
                <w:color w:val="000000"/>
                <w:kern w:val="0"/>
                <w:sz w:val="24"/>
                <w:szCs w:val="24"/>
              </w:rPr>
            </w:pPr>
            <w:r>
              <w:rPr>
                <w:rFonts w:ascii="黑体" w:hAnsi="黑体" w:eastAsia="黑体" w:cs="Times New Roman"/>
                <w:bCs/>
                <w:color w:val="000000"/>
                <w:kern w:val="0"/>
                <w:sz w:val="24"/>
                <w:szCs w:val="24"/>
              </w:rPr>
              <w:t>获批时的适应症小结</w:t>
            </w:r>
          </w:p>
          <w:p>
            <w:pPr>
              <w:widowControl/>
              <w:snapToGrid w:val="0"/>
              <w:jc w:val="center"/>
              <w:rPr>
                <w:rFonts w:ascii="黑体" w:hAnsi="黑体" w:eastAsia="黑体" w:cs="Times New Roman"/>
                <w:bCs/>
                <w:color w:val="000000"/>
                <w:kern w:val="0"/>
                <w:sz w:val="24"/>
                <w:szCs w:val="24"/>
              </w:rPr>
            </w:pPr>
            <w:r>
              <w:rPr>
                <w:rFonts w:ascii="黑体" w:hAnsi="黑体" w:eastAsia="黑体" w:cs="Times New Roman"/>
                <w:bCs/>
                <w:color w:val="000000"/>
                <w:kern w:val="0"/>
                <w:sz w:val="24"/>
                <w:szCs w:val="24"/>
              </w:rPr>
              <w:t>（具体详见药品说明书）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5" w:hRule="atLeast"/>
          <w:jc w:val="center"/>
        </w:trPr>
        <w:tc>
          <w:tcPr>
            <w:tcW w:w="809" w:type="dxa"/>
            <w:shd w:val="clear" w:color="auto" w:fill="auto"/>
            <w:vAlign w:val="center"/>
          </w:tcPr>
          <w:p>
            <w:pPr>
              <w:widowControl/>
              <w:adjustRightInd w:val="0"/>
              <w:snapToGrid w:val="0"/>
              <w:jc w:val="center"/>
              <w:rPr>
                <w:rFonts w:ascii="Times New Roman" w:hAnsi="Times New Roman" w:eastAsia="仿宋_GB2312" w:cs="Times New Roman"/>
                <w:bCs/>
                <w:color w:val="000000"/>
                <w:kern w:val="0"/>
                <w:sz w:val="24"/>
                <w:szCs w:val="24"/>
              </w:rPr>
            </w:pPr>
            <w:r>
              <w:rPr>
                <w:rFonts w:ascii="Times New Roman" w:hAnsi="Times New Roman" w:eastAsia="仿宋_GB2312" w:cs="Times New Roman"/>
                <w:bCs/>
                <w:color w:val="000000"/>
                <w:kern w:val="0"/>
                <w:sz w:val="24"/>
                <w:szCs w:val="24"/>
              </w:rPr>
              <w:t>1</w:t>
            </w:r>
          </w:p>
        </w:tc>
        <w:tc>
          <w:tcPr>
            <w:tcW w:w="4148" w:type="dxa"/>
            <w:shd w:val="clear" w:color="auto" w:fill="auto"/>
            <w:vAlign w:val="center"/>
          </w:tcPr>
          <w:p>
            <w:pPr>
              <w:widowControl/>
              <w:snapToGrid w:val="0"/>
              <w:jc w:val="center"/>
              <w:rPr>
                <w:rFonts w:ascii="Times New Roman" w:hAnsi="Times New Roman" w:eastAsia="仿宋_GB2312" w:cs="Times New Roman"/>
                <w:bCs/>
                <w:color w:val="000000"/>
                <w:kern w:val="0"/>
                <w:sz w:val="24"/>
                <w:szCs w:val="24"/>
              </w:rPr>
            </w:pPr>
            <w:r>
              <w:rPr>
                <w:rFonts w:ascii="Times New Roman" w:hAnsi="Times New Roman" w:eastAsia="仿宋_GB2312" w:cs="Times New Roman"/>
                <w:bCs/>
                <w:color w:val="000000"/>
                <w:kern w:val="0"/>
                <w:sz w:val="24"/>
                <w:szCs w:val="24"/>
              </w:rPr>
              <w:t>阿巴西普注射液</w:t>
            </w:r>
          </w:p>
        </w:tc>
        <w:tc>
          <w:tcPr>
            <w:tcW w:w="4682" w:type="dxa"/>
            <w:shd w:val="clear" w:color="auto" w:fill="auto"/>
            <w:vAlign w:val="center"/>
          </w:tcPr>
          <w:p>
            <w:pPr>
              <w:widowControl/>
              <w:snapToGrid w:val="0"/>
              <w:jc w:val="center"/>
              <w:rPr>
                <w:rFonts w:ascii="Times New Roman" w:hAnsi="Times New Roman" w:eastAsia="仿宋_GB2312" w:cs="Times New Roman"/>
                <w:bCs/>
                <w:color w:val="000000"/>
                <w:kern w:val="0"/>
                <w:sz w:val="24"/>
                <w:szCs w:val="24"/>
              </w:rPr>
            </w:pPr>
            <w:r>
              <w:rPr>
                <w:rFonts w:ascii="Times New Roman" w:hAnsi="Times New Roman" w:eastAsia="仿宋_GB2312" w:cs="Times New Roman"/>
                <w:bCs/>
                <w:color w:val="000000"/>
                <w:kern w:val="0"/>
                <w:sz w:val="24"/>
                <w:szCs w:val="24"/>
              </w:rPr>
              <w:t>类风湿关节炎</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5" w:hRule="atLeast"/>
          <w:jc w:val="center"/>
        </w:trPr>
        <w:tc>
          <w:tcPr>
            <w:tcW w:w="809" w:type="dxa"/>
            <w:shd w:val="clear" w:color="auto" w:fill="auto"/>
            <w:vAlign w:val="center"/>
          </w:tcPr>
          <w:p>
            <w:pPr>
              <w:widowControl/>
              <w:adjustRightInd w:val="0"/>
              <w:snapToGrid w:val="0"/>
              <w:jc w:val="center"/>
              <w:rPr>
                <w:rFonts w:ascii="Times New Roman" w:hAnsi="Times New Roman" w:eastAsia="仿宋_GB2312" w:cs="Times New Roman"/>
                <w:bCs/>
                <w:color w:val="000000"/>
                <w:kern w:val="0"/>
                <w:sz w:val="24"/>
                <w:szCs w:val="24"/>
              </w:rPr>
            </w:pPr>
            <w:r>
              <w:rPr>
                <w:rFonts w:ascii="Times New Roman" w:hAnsi="Times New Roman" w:eastAsia="仿宋_GB2312" w:cs="Times New Roman"/>
                <w:bCs/>
                <w:color w:val="000000"/>
                <w:kern w:val="0"/>
                <w:sz w:val="24"/>
                <w:szCs w:val="24"/>
              </w:rPr>
              <w:t>2</w:t>
            </w:r>
          </w:p>
        </w:tc>
        <w:tc>
          <w:tcPr>
            <w:tcW w:w="4148" w:type="dxa"/>
            <w:shd w:val="clear" w:color="auto" w:fill="auto"/>
            <w:vAlign w:val="center"/>
          </w:tcPr>
          <w:p>
            <w:pPr>
              <w:widowControl/>
              <w:snapToGrid w:val="0"/>
              <w:jc w:val="center"/>
              <w:rPr>
                <w:rFonts w:ascii="Times New Roman" w:hAnsi="Times New Roman" w:eastAsia="仿宋_GB2312" w:cs="Times New Roman"/>
                <w:bCs/>
                <w:color w:val="000000"/>
                <w:kern w:val="0"/>
                <w:sz w:val="24"/>
                <w:szCs w:val="24"/>
              </w:rPr>
            </w:pPr>
            <w:r>
              <w:rPr>
                <w:rFonts w:ascii="Times New Roman" w:hAnsi="Times New Roman" w:eastAsia="仿宋_GB2312" w:cs="Times New Roman"/>
                <w:bCs/>
                <w:color w:val="000000"/>
                <w:kern w:val="0"/>
                <w:sz w:val="24"/>
                <w:szCs w:val="24"/>
              </w:rPr>
              <w:t>阿贝西利片</w:t>
            </w:r>
          </w:p>
        </w:tc>
        <w:tc>
          <w:tcPr>
            <w:tcW w:w="4682" w:type="dxa"/>
            <w:shd w:val="clear" w:color="auto" w:fill="auto"/>
            <w:vAlign w:val="center"/>
          </w:tcPr>
          <w:p>
            <w:pPr>
              <w:widowControl/>
              <w:snapToGrid w:val="0"/>
              <w:jc w:val="center"/>
              <w:rPr>
                <w:rFonts w:ascii="Times New Roman" w:hAnsi="Times New Roman" w:eastAsia="仿宋_GB2312" w:cs="Times New Roman"/>
                <w:bCs/>
                <w:color w:val="000000"/>
                <w:kern w:val="0"/>
                <w:sz w:val="24"/>
                <w:szCs w:val="24"/>
              </w:rPr>
            </w:pPr>
            <w:r>
              <w:rPr>
                <w:rFonts w:ascii="Times New Roman" w:hAnsi="Times New Roman" w:eastAsia="仿宋_GB2312" w:cs="Times New Roman"/>
                <w:bCs/>
                <w:color w:val="000000"/>
                <w:kern w:val="0"/>
                <w:sz w:val="24"/>
                <w:szCs w:val="24"/>
              </w:rPr>
              <w:t>激素受体（HR）阳性、人表皮生长因子受体（HER2）阴性的局部晚期或转移性乳腺癌</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5" w:hRule="atLeast"/>
          <w:jc w:val="center"/>
        </w:trPr>
        <w:tc>
          <w:tcPr>
            <w:tcW w:w="809" w:type="dxa"/>
            <w:shd w:val="clear" w:color="auto" w:fill="auto"/>
            <w:vAlign w:val="center"/>
          </w:tcPr>
          <w:p>
            <w:pPr>
              <w:widowControl/>
              <w:adjustRightInd w:val="0"/>
              <w:snapToGrid w:val="0"/>
              <w:jc w:val="center"/>
              <w:rPr>
                <w:rFonts w:ascii="Times New Roman" w:hAnsi="Times New Roman" w:eastAsia="仿宋_GB2312" w:cs="Times New Roman"/>
                <w:bCs/>
                <w:color w:val="000000"/>
                <w:kern w:val="0"/>
                <w:sz w:val="24"/>
                <w:szCs w:val="24"/>
              </w:rPr>
            </w:pPr>
            <w:r>
              <w:rPr>
                <w:rFonts w:ascii="Times New Roman" w:hAnsi="Times New Roman" w:eastAsia="仿宋_GB2312" w:cs="Times New Roman"/>
                <w:bCs/>
                <w:color w:val="000000"/>
                <w:kern w:val="0"/>
                <w:sz w:val="24"/>
                <w:szCs w:val="24"/>
              </w:rPr>
              <w:t>3</w:t>
            </w:r>
          </w:p>
        </w:tc>
        <w:tc>
          <w:tcPr>
            <w:tcW w:w="4148" w:type="dxa"/>
            <w:shd w:val="clear" w:color="auto" w:fill="auto"/>
            <w:vAlign w:val="center"/>
          </w:tcPr>
          <w:p>
            <w:pPr>
              <w:widowControl/>
              <w:snapToGrid w:val="0"/>
              <w:jc w:val="center"/>
              <w:rPr>
                <w:rFonts w:ascii="Times New Roman" w:hAnsi="Times New Roman" w:eastAsia="仿宋_GB2312" w:cs="Times New Roman"/>
                <w:bCs/>
                <w:color w:val="000000"/>
                <w:kern w:val="0"/>
                <w:sz w:val="24"/>
                <w:szCs w:val="24"/>
              </w:rPr>
            </w:pPr>
            <w:r>
              <w:rPr>
                <w:rFonts w:ascii="Times New Roman" w:hAnsi="Times New Roman" w:eastAsia="仿宋_GB2312" w:cs="Times New Roman"/>
                <w:bCs/>
                <w:color w:val="000000"/>
                <w:kern w:val="0"/>
                <w:sz w:val="24"/>
                <w:szCs w:val="24"/>
              </w:rPr>
              <w:t>马来酸阿伐曲泊帕片</w:t>
            </w:r>
          </w:p>
        </w:tc>
        <w:tc>
          <w:tcPr>
            <w:tcW w:w="4682" w:type="dxa"/>
            <w:shd w:val="clear" w:color="auto" w:fill="auto"/>
            <w:vAlign w:val="center"/>
          </w:tcPr>
          <w:p>
            <w:pPr>
              <w:widowControl/>
              <w:snapToGrid w:val="0"/>
              <w:jc w:val="center"/>
              <w:rPr>
                <w:rFonts w:ascii="Times New Roman" w:hAnsi="Times New Roman" w:eastAsia="仿宋_GB2312" w:cs="Times New Roman"/>
                <w:bCs/>
                <w:color w:val="000000"/>
                <w:kern w:val="0"/>
                <w:sz w:val="24"/>
                <w:szCs w:val="24"/>
              </w:rPr>
            </w:pPr>
            <w:r>
              <w:rPr>
                <w:rFonts w:ascii="Times New Roman" w:hAnsi="Times New Roman" w:eastAsia="仿宋_GB2312" w:cs="Times New Roman"/>
                <w:bCs/>
                <w:color w:val="000000"/>
                <w:kern w:val="0"/>
                <w:sz w:val="24"/>
                <w:szCs w:val="24"/>
              </w:rPr>
              <w:t>择期行诊断性操作或手术的慢性肝病相关血小板减少症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5" w:hRule="atLeast"/>
          <w:jc w:val="center"/>
        </w:trPr>
        <w:tc>
          <w:tcPr>
            <w:tcW w:w="809" w:type="dxa"/>
            <w:shd w:val="clear" w:color="auto" w:fill="auto"/>
            <w:vAlign w:val="center"/>
          </w:tcPr>
          <w:p>
            <w:pPr>
              <w:widowControl/>
              <w:adjustRightInd w:val="0"/>
              <w:snapToGrid w:val="0"/>
              <w:jc w:val="center"/>
              <w:rPr>
                <w:rFonts w:ascii="Times New Roman" w:hAnsi="Times New Roman" w:eastAsia="仿宋_GB2312" w:cs="Times New Roman"/>
                <w:bCs/>
                <w:color w:val="000000"/>
                <w:kern w:val="0"/>
                <w:sz w:val="24"/>
                <w:szCs w:val="24"/>
              </w:rPr>
            </w:pPr>
            <w:r>
              <w:rPr>
                <w:rFonts w:ascii="Times New Roman" w:hAnsi="Times New Roman" w:eastAsia="仿宋_GB2312" w:cs="Times New Roman"/>
                <w:bCs/>
                <w:color w:val="000000"/>
                <w:kern w:val="0"/>
                <w:sz w:val="24"/>
                <w:szCs w:val="24"/>
              </w:rPr>
              <w:t>4</w:t>
            </w:r>
          </w:p>
        </w:tc>
        <w:tc>
          <w:tcPr>
            <w:tcW w:w="4148" w:type="dxa"/>
            <w:shd w:val="clear" w:color="auto" w:fill="auto"/>
            <w:vAlign w:val="center"/>
          </w:tcPr>
          <w:p>
            <w:pPr>
              <w:widowControl/>
              <w:snapToGrid w:val="0"/>
              <w:jc w:val="center"/>
              <w:rPr>
                <w:rFonts w:ascii="Times New Roman" w:hAnsi="Times New Roman" w:eastAsia="仿宋_GB2312" w:cs="Times New Roman"/>
                <w:bCs/>
                <w:color w:val="000000"/>
                <w:kern w:val="0"/>
                <w:sz w:val="24"/>
                <w:szCs w:val="24"/>
              </w:rPr>
            </w:pPr>
            <w:r>
              <w:rPr>
                <w:rFonts w:ascii="Times New Roman" w:hAnsi="Times New Roman" w:eastAsia="仿宋_GB2312" w:cs="Times New Roman"/>
                <w:bCs/>
                <w:color w:val="000000"/>
                <w:kern w:val="0"/>
                <w:sz w:val="24"/>
                <w:szCs w:val="24"/>
              </w:rPr>
              <w:t>阿加糖酶α注射用浓溶液</w:t>
            </w:r>
          </w:p>
        </w:tc>
        <w:tc>
          <w:tcPr>
            <w:tcW w:w="4682" w:type="dxa"/>
            <w:shd w:val="clear" w:color="auto" w:fill="auto"/>
            <w:vAlign w:val="center"/>
          </w:tcPr>
          <w:p>
            <w:pPr>
              <w:widowControl/>
              <w:snapToGrid w:val="0"/>
              <w:jc w:val="center"/>
              <w:rPr>
                <w:rFonts w:ascii="Times New Roman" w:hAnsi="Times New Roman" w:eastAsia="仿宋_GB2312" w:cs="Times New Roman"/>
                <w:bCs/>
                <w:color w:val="000000"/>
                <w:kern w:val="0"/>
                <w:sz w:val="24"/>
                <w:szCs w:val="24"/>
              </w:rPr>
            </w:pPr>
            <w:r>
              <w:rPr>
                <w:rFonts w:ascii="Times New Roman" w:hAnsi="Times New Roman" w:eastAsia="仿宋_GB2312" w:cs="Times New Roman"/>
                <w:bCs/>
                <w:color w:val="000000"/>
                <w:kern w:val="0"/>
                <w:sz w:val="24"/>
                <w:szCs w:val="24"/>
              </w:rPr>
              <w:t>法布雷病</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5" w:hRule="atLeast"/>
          <w:jc w:val="center"/>
        </w:trPr>
        <w:tc>
          <w:tcPr>
            <w:tcW w:w="809" w:type="dxa"/>
            <w:shd w:val="clear" w:color="auto" w:fill="auto"/>
            <w:vAlign w:val="center"/>
          </w:tcPr>
          <w:p>
            <w:pPr>
              <w:widowControl/>
              <w:adjustRightInd w:val="0"/>
              <w:snapToGrid w:val="0"/>
              <w:jc w:val="center"/>
              <w:rPr>
                <w:rFonts w:ascii="Times New Roman" w:hAnsi="Times New Roman" w:eastAsia="仿宋_GB2312" w:cs="Times New Roman"/>
                <w:bCs/>
                <w:color w:val="000000"/>
                <w:kern w:val="0"/>
                <w:sz w:val="24"/>
                <w:szCs w:val="24"/>
              </w:rPr>
            </w:pPr>
            <w:r>
              <w:rPr>
                <w:rFonts w:ascii="Times New Roman" w:hAnsi="Times New Roman" w:eastAsia="仿宋_GB2312" w:cs="Times New Roman"/>
                <w:bCs/>
                <w:color w:val="000000"/>
                <w:kern w:val="0"/>
                <w:sz w:val="24"/>
                <w:szCs w:val="24"/>
              </w:rPr>
              <w:t>5</w:t>
            </w:r>
          </w:p>
        </w:tc>
        <w:tc>
          <w:tcPr>
            <w:tcW w:w="4148" w:type="dxa"/>
            <w:shd w:val="clear" w:color="auto" w:fill="auto"/>
            <w:vAlign w:val="center"/>
          </w:tcPr>
          <w:p>
            <w:pPr>
              <w:widowControl/>
              <w:snapToGrid w:val="0"/>
              <w:jc w:val="center"/>
              <w:rPr>
                <w:rFonts w:ascii="Times New Roman" w:hAnsi="Times New Roman" w:eastAsia="仿宋_GB2312" w:cs="Times New Roman"/>
                <w:bCs/>
                <w:color w:val="000000"/>
                <w:kern w:val="0"/>
                <w:sz w:val="24"/>
                <w:szCs w:val="24"/>
              </w:rPr>
            </w:pPr>
            <w:r>
              <w:rPr>
                <w:rFonts w:ascii="Times New Roman" w:hAnsi="Times New Roman" w:eastAsia="仿宋_GB2312" w:cs="Times New Roman"/>
                <w:bCs/>
                <w:color w:val="000000"/>
                <w:kern w:val="0"/>
                <w:sz w:val="24"/>
                <w:szCs w:val="24"/>
              </w:rPr>
              <w:t>阿替利珠单抗注射液</w:t>
            </w:r>
          </w:p>
        </w:tc>
        <w:tc>
          <w:tcPr>
            <w:tcW w:w="4682" w:type="dxa"/>
            <w:shd w:val="clear" w:color="auto" w:fill="auto"/>
            <w:vAlign w:val="center"/>
          </w:tcPr>
          <w:p>
            <w:pPr>
              <w:widowControl/>
              <w:snapToGrid w:val="0"/>
              <w:jc w:val="center"/>
              <w:rPr>
                <w:rFonts w:ascii="Times New Roman" w:hAnsi="Times New Roman" w:eastAsia="仿宋_GB2312" w:cs="Times New Roman"/>
                <w:bCs/>
                <w:color w:val="000000"/>
                <w:kern w:val="0"/>
                <w:sz w:val="24"/>
                <w:szCs w:val="24"/>
              </w:rPr>
            </w:pPr>
            <w:r>
              <w:rPr>
                <w:rFonts w:ascii="Times New Roman" w:hAnsi="Times New Roman" w:eastAsia="仿宋_GB2312" w:cs="Times New Roman"/>
                <w:bCs/>
                <w:color w:val="000000"/>
                <w:kern w:val="0"/>
                <w:sz w:val="24"/>
                <w:szCs w:val="24"/>
              </w:rPr>
              <w:t>联合含铂化疗用于初治广泛期小细胞肺癌</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5" w:hRule="atLeast"/>
          <w:jc w:val="center"/>
        </w:trPr>
        <w:tc>
          <w:tcPr>
            <w:tcW w:w="809" w:type="dxa"/>
            <w:shd w:val="clear" w:color="auto" w:fill="auto"/>
            <w:vAlign w:val="center"/>
          </w:tcPr>
          <w:p>
            <w:pPr>
              <w:widowControl/>
              <w:adjustRightInd w:val="0"/>
              <w:snapToGrid w:val="0"/>
              <w:jc w:val="center"/>
              <w:rPr>
                <w:rFonts w:ascii="Times New Roman" w:hAnsi="Times New Roman" w:eastAsia="仿宋_GB2312" w:cs="Times New Roman"/>
                <w:bCs/>
                <w:color w:val="000000"/>
                <w:kern w:val="0"/>
                <w:sz w:val="24"/>
                <w:szCs w:val="24"/>
              </w:rPr>
            </w:pPr>
            <w:r>
              <w:rPr>
                <w:rFonts w:ascii="Times New Roman" w:hAnsi="Times New Roman" w:eastAsia="仿宋_GB2312" w:cs="Times New Roman"/>
                <w:bCs/>
                <w:color w:val="000000"/>
                <w:kern w:val="0"/>
                <w:sz w:val="24"/>
                <w:szCs w:val="24"/>
              </w:rPr>
              <w:t>6</w:t>
            </w:r>
          </w:p>
        </w:tc>
        <w:tc>
          <w:tcPr>
            <w:tcW w:w="4148" w:type="dxa"/>
            <w:shd w:val="clear" w:color="auto" w:fill="auto"/>
            <w:vAlign w:val="center"/>
          </w:tcPr>
          <w:p>
            <w:pPr>
              <w:widowControl/>
              <w:snapToGrid w:val="0"/>
              <w:jc w:val="center"/>
              <w:rPr>
                <w:rFonts w:ascii="Times New Roman" w:hAnsi="Times New Roman" w:eastAsia="仿宋_GB2312" w:cs="Times New Roman"/>
                <w:bCs/>
                <w:color w:val="000000"/>
                <w:kern w:val="0"/>
                <w:sz w:val="24"/>
                <w:szCs w:val="24"/>
              </w:rPr>
            </w:pPr>
            <w:r>
              <w:rPr>
                <w:rFonts w:ascii="Times New Roman" w:hAnsi="Times New Roman" w:eastAsia="仿宋_GB2312" w:cs="Times New Roman"/>
                <w:bCs/>
                <w:color w:val="000000"/>
                <w:kern w:val="0"/>
                <w:sz w:val="24"/>
                <w:szCs w:val="24"/>
              </w:rPr>
              <w:t>艾地骨化醇软胶囊</w:t>
            </w:r>
          </w:p>
        </w:tc>
        <w:tc>
          <w:tcPr>
            <w:tcW w:w="4682" w:type="dxa"/>
            <w:shd w:val="clear" w:color="auto" w:fill="auto"/>
            <w:vAlign w:val="center"/>
          </w:tcPr>
          <w:p>
            <w:pPr>
              <w:widowControl/>
              <w:snapToGrid w:val="0"/>
              <w:jc w:val="center"/>
              <w:rPr>
                <w:rFonts w:ascii="Times New Roman" w:hAnsi="Times New Roman" w:eastAsia="仿宋_GB2312" w:cs="Times New Roman"/>
                <w:bCs/>
                <w:color w:val="000000"/>
                <w:kern w:val="0"/>
                <w:sz w:val="24"/>
                <w:szCs w:val="24"/>
              </w:rPr>
            </w:pPr>
            <w:r>
              <w:rPr>
                <w:rFonts w:ascii="Times New Roman" w:hAnsi="Times New Roman" w:eastAsia="仿宋_GB2312" w:cs="Times New Roman"/>
                <w:bCs/>
                <w:color w:val="000000"/>
                <w:kern w:val="0"/>
                <w:sz w:val="24"/>
                <w:szCs w:val="24"/>
              </w:rPr>
              <w:t>绝经后女性骨质疏松症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5" w:hRule="atLeast"/>
          <w:jc w:val="center"/>
        </w:trPr>
        <w:tc>
          <w:tcPr>
            <w:tcW w:w="809" w:type="dxa"/>
            <w:shd w:val="clear" w:color="auto" w:fill="auto"/>
            <w:vAlign w:val="center"/>
          </w:tcPr>
          <w:p>
            <w:pPr>
              <w:widowControl/>
              <w:adjustRightInd w:val="0"/>
              <w:snapToGrid w:val="0"/>
              <w:jc w:val="center"/>
              <w:rPr>
                <w:rFonts w:ascii="Times New Roman" w:hAnsi="Times New Roman" w:eastAsia="仿宋_GB2312" w:cs="Times New Roman"/>
                <w:bCs/>
                <w:color w:val="000000"/>
                <w:kern w:val="0"/>
                <w:sz w:val="24"/>
                <w:szCs w:val="24"/>
              </w:rPr>
            </w:pPr>
            <w:r>
              <w:rPr>
                <w:rFonts w:ascii="Times New Roman" w:hAnsi="Times New Roman" w:eastAsia="仿宋_GB2312" w:cs="Times New Roman"/>
                <w:bCs/>
                <w:color w:val="000000"/>
                <w:kern w:val="0"/>
                <w:sz w:val="24"/>
                <w:szCs w:val="24"/>
              </w:rPr>
              <w:t>7</w:t>
            </w:r>
          </w:p>
        </w:tc>
        <w:tc>
          <w:tcPr>
            <w:tcW w:w="4148" w:type="dxa"/>
            <w:shd w:val="clear" w:color="auto" w:fill="auto"/>
            <w:vAlign w:val="center"/>
          </w:tcPr>
          <w:p>
            <w:pPr>
              <w:widowControl/>
              <w:snapToGrid w:val="0"/>
              <w:jc w:val="center"/>
              <w:rPr>
                <w:rFonts w:ascii="Times New Roman" w:hAnsi="Times New Roman" w:eastAsia="仿宋_GB2312" w:cs="Times New Roman"/>
                <w:bCs/>
                <w:color w:val="000000"/>
                <w:kern w:val="0"/>
                <w:sz w:val="24"/>
                <w:szCs w:val="24"/>
              </w:rPr>
            </w:pPr>
            <w:r>
              <w:rPr>
                <w:rFonts w:ascii="Times New Roman" w:hAnsi="Times New Roman" w:eastAsia="仿宋_GB2312" w:cs="Times New Roman"/>
                <w:bCs/>
                <w:color w:val="000000"/>
                <w:kern w:val="0"/>
                <w:sz w:val="24"/>
                <w:szCs w:val="24"/>
              </w:rPr>
              <w:t>艾度硫酸酯酶β注射液</w:t>
            </w:r>
          </w:p>
        </w:tc>
        <w:tc>
          <w:tcPr>
            <w:tcW w:w="4682" w:type="dxa"/>
            <w:shd w:val="clear" w:color="auto" w:fill="auto"/>
            <w:vAlign w:val="center"/>
          </w:tcPr>
          <w:p>
            <w:pPr>
              <w:widowControl/>
              <w:snapToGrid w:val="0"/>
              <w:jc w:val="center"/>
              <w:rPr>
                <w:rFonts w:ascii="Times New Roman" w:hAnsi="Times New Roman" w:eastAsia="仿宋_GB2312" w:cs="Times New Roman"/>
                <w:bCs/>
                <w:color w:val="000000"/>
                <w:kern w:val="0"/>
                <w:sz w:val="24"/>
                <w:szCs w:val="24"/>
              </w:rPr>
            </w:pPr>
            <w:r>
              <w:rPr>
                <w:rFonts w:ascii="Times New Roman" w:hAnsi="Times New Roman" w:eastAsia="仿宋_GB2312" w:cs="Times New Roman"/>
                <w:bCs/>
                <w:color w:val="000000"/>
                <w:kern w:val="0"/>
                <w:sz w:val="24"/>
                <w:szCs w:val="24"/>
              </w:rPr>
              <w:t>黏多糖贮积症</w:t>
            </w:r>
            <w:r>
              <w:rPr>
                <w:rFonts w:hint="eastAsia" w:ascii="宋体" w:hAnsi="宋体" w:eastAsia="宋体" w:cs="宋体"/>
                <w:bCs/>
                <w:color w:val="000000"/>
                <w:kern w:val="0"/>
                <w:sz w:val="24"/>
                <w:szCs w:val="24"/>
              </w:rPr>
              <w:t>Ⅱ</w:t>
            </w:r>
            <w:r>
              <w:rPr>
                <w:rFonts w:ascii="Times New Roman" w:hAnsi="Times New Roman" w:eastAsia="仿宋_GB2312" w:cs="Times New Roman"/>
                <w:bCs/>
                <w:color w:val="000000"/>
                <w:kern w:val="0"/>
                <w:sz w:val="24"/>
                <w:szCs w:val="24"/>
              </w:rPr>
              <w:t>型</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5" w:hRule="atLeast"/>
          <w:jc w:val="center"/>
        </w:trPr>
        <w:tc>
          <w:tcPr>
            <w:tcW w:w="809" w:type="dxa"/>
            <w:shd w:val="clear" w:color="auto" w:fill="auto"/>
            <w:vAlign w:val="center"/>
          </w:tcPr>
          <w:p>
            <w:pPr>
              <w:widowControl/>
              <w:adjustRightInd w:val="0"/>
              <w:snapToGrid w:val="0"/>
              <w:jc w:val="center"/>
              <w:rPr>
                <w:rFonts w:ascii="Times New Roman" w:hAnsi="Times New Roman" w:eastAsia="仿宋_GB2312" w:cs="Times New Roman"/>
                <w:bCs/>
                <w:color w:val="000000"/>
                <w:kern w:val="0"/>
                <w:sz w:val="24"/>
                <w:szCs w:val="24"/>
              </w:rPr>
            </w:pPr>
            <w:r>
              <w:rPr>
                <w:rFonts w:ascii="Times New Roman" w:hAnsi="Times New Roman" w:eastAsia="仿宋_GB2312" w:cs="Times New Roman"/>
                <w:bCs/>
                <w:color w:val="000000"/>
                <w:kern w:val="0"/>
                <w:sz w:val="24"/>
                <w:szCs w:val="24"/>
              </w:rPr>
              <w:t>8</w:t>
            </w:r>
          </w:p>
        </w:tc>
        <w:tc>
          <w:tcPr>
            <w:tcW w:w="4148" w:type="dxa"/>
            <w:shd w:val="clear" w:color="auto" w:fill="auto"/>
            <w:vAlign w:val="center"/>
          </w:tcPr>
          <w:p>
            <w:pPr>
              <w:widowControl/>
              <w:snapToGrid w:val="0"/>
              <w:jc w:val="center"/>
              <w:rPr>
                <w:rFonts w:ascii="Times New Roman" w:hAnsi="Times New Roman" w:eastAsia="仿宋_GB2312" w:cs="Times New Roman"/>
                <w:bCs/>
                <w:color w:val="000000"/>
                <w:kern w:val="0"/>
                <w:sz w:val="24"/>
                <w:szCs w:val="24"/>
              </w:rPr>
            </w:pPr>
            <w:r>
              <w:rPr>
                <w:rFonts w:ascii="Times New Roman" w:hAnsi="Times New Roman" w:eastAsia="仿宋_GB2312" w:cs="Times New Roman"/>
                <w:bCs/>
                <w:color w:val="000000"/>
                <w:kern w:val="0"/>
                <w:sz w:val="24"/>
                <w:szCs w:val="24"/>
              </w:rPr>
              <w:t>艾托格列净片</w:t>
            </w:r>
          </w:p>
        </w:tc>
        <w:tc>
          <w:tcPr>
            <w:tcW w:w="4682" w:type="dxa"/>
            <w:shd w:val="clear" w:color="auto" w:fill="auto"/>
            <w:vAlign w:val="center"/>
          </w:tcPr>
          <w:p>
            <w:pPr>
              <w:widowControl/>
              <w:snapToGrid w:val="0"/>
              <w:jc w:val="center"/>
              <w:rPr>
                <w:rFonts w:ascii="Times New Roman" w:hAnsi="Times New Roman" w:eastAsia="仿宋_GB2312" w:cs="Times New Roman"/>
                <w:bCs/>
                <w:color w:val="000000"/>
                <w:kern w:val="0"/>
                <w:sz w:val="24"/>
                <w:szCs w:val="24"/>
              </w:rPr>
            </w:pPr>
            <w:r>
              <w:rPr>
                <w:rFonts w:ascii="Times New Roman" w:hAnsi="Times New Roman" w:eastAsia="仿宋_GB2312" w:cs="Times New Roman"/>
                <w:bCs/>
                <w:color w:val="000000"/>
                <w:kern w:val="0"/>
                <w:sz w:val="24"/>
                <w:szCs w:val="24"/>
              </w:rPr>
              <w:t>配合饮食和运动改善成人2型糖尿病患者的血糖控制。</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5" w:hRule="atLeast"/>
          <w:jc w:val="center"/>
        </w:trPr>
        <w:tc>
          <w:tcPr>
            <w:tcW w:w="809" w:type="dxa"/>
            <w:shd w:val="clear" w:color="auto" w:fill="auto"/>
            <w:vAlign w:val="center"/>
          </w:tcPr>
          <w:p>
            <w:pPr>
              <w:widowControl/>
              <w:adjustRightInd w:val="0"/>
              <w:snapToGrid w:val="0"/>
              <w:jc w:val="center"/>
              <w:rPr>
                <w:rFonts w:ascii="Times New Roman" w:hAnsi="Times New Roman" w:eastAsia="仿宋_GB2312" w:cs="Times New Roman"/>
                <w:bCs/>
                <w:color w:val="000000"/>
                <w:kern w:val="0"/>
                <w:sz w:val="24"/>
                <w:szCs w:val="24"/>
              </w:rPr>
            </w:pPr>
            <w:r>
              <w:rPr>
                <w:rFonts w:ascii="Times New Roman" w:hAnsi="Times New Roman" w:eastAsia="仿宋_GB2312" w:cs="Times New Roman"/>
                <w:bCs/>
                <w:color w:val="000000"/>
                <w:kern w:val="0"/>
                <w:sz w:val="24"/>
                <w:szCs w:val="24"/>
              </w:rPr>
              <w:t>9</w:t>
            </w:r>
          </w:p>
        </w:tc>
        <w:tc>
          <w:tcPr>
            <w:tcW w:w="4148" w:type="dxa"/>
            <w:shd w:val="clear" w:color="auto" w:fill="auto"/>
            <w:vAlign w:val="center"/>
          </w:tcPr>
          <w:p>
            <w:pPr>
              <w:widowControl/>
              <w:snapToGrid w:val="0"/>
              <w:jc w:val="center"/>
              <w:rPr>
                <w:rFonts w:ascii="Times New Roman" w:hAnsi="Times New Roman" w:eastAsia="仿宋_GB2312" w:cs="Times New Roman"/>
                <w:bCs/>
                <w:color w:val="000000"/>
                <w:kern w:val="0"/>
                <w:sz w:val="24"/>
                <w:szCs w:val="24"/>
              </w:rPr>
            </w:pPr>
            <w:r>
              <w:rPr>
                <w:rFonts w:ascii="Times New Roman" w:hAnsi="Times New Roman" w:eastAsia="仿宋_GB2312" w:cs="Times New Roman"/>
                <w:bCs/>
                <w:color w:val="000000"/>
                <w:kern w:val="0"/>
                <w:sz w:val="24"/>
                <w:szCs w:val="24"/>
              </w:rPr>
              <w:t>达依泊汀α注射液</w:t>
            </w:r>
          </w:p>
        </w:tc>
        <w:tc>
          <w:tcPr>
            <w:tcW w:w="4682" w:type="dxa"/>
            <w:shd w:val="clear" w:color="auto" w:fill="auto"/>
            <w:vAlign w:val="center"/>
          </w:tcPr>
          <w:p>
            <w:pPr>
              <w:widowControl/>
              <w:snapToGrid w:val="0"/>
              <w:jc w:val="center"/>
              <w:rPr>
                <w:rFonts w:ascii="Times New Roman" w:hAnsi="Times New Roman" w:eastAsia="仿宋_GB2312" w:cs="Times New Roman"/>
                <w:bCs/>
                <w:color w:val="000000"/>
                <w:kern w:val="0"/>
                <w:sz w:val="24"/>
                <w:szCs w:val="24"/>
              </w:rPr>
            </w:pPr>
            <w:r>
              <w:rPr>
                <w:rFonts w:ascii="Times New Roman" w:hAnsi="Times New Roman" w:eastAsia="仿宋_GB2312" w:cs="Times New Roman"/>
                <w:bCs/>
                <w:color w:val="000000"/>
                <w:kern w:val="0"/>
                <w:sz w:val="24"/>
                <w:szCs w:val="24"/>
              </w:rPr>
              <w:t>需血液透析的慢性肾病患者的贫血</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5" w:hRule="atLeast"/>
          <w:jc w:val="center"/>
        </w:trPr>
        <w:tc>
          <w:tcPr>
            <w:tcW w:w="809" w:type="dxa"/>
            <w:shd w:val="clear" w:color="auto" w:fill="auto"/>
            <w:vAlign w:val="center"/>
          </w:tcPr>
          <w:p>
            <w:pPr>
              <w:widowControl/>
              <w:adjustRightInd w:val="0"/>
              <w:snapToGrid w:val="0"/>
              <w:jc w:val="center"/>
              <w:rPr>
                <w:rFonts w:ascii="Times New Roman" w:hAnsi="Times New Roman" w:eastAsia="仿宋_GB2312" w:cs="Times New Roman"/>
                <w:bCs/>
                <w:color w:val="000000"/>
                <w:kern w:val="0"/>
                <w:sz w:val="24"/>
                <w:szCs w:val="24"/>
              </w:rPr>
            </w:pPr>
            <w:r>
              <w:rPr>
                <w:rFonts w:ascii="Times New Roman" w:hAnsi="Times New Roman" w:eastAsia="仿宋_GB2312" w:cs="Times New Roman"/>
                <w:bCs/>
                <w:color w:val="000000"/>
                <w:kern w:val="0"/>
                <w:sz w:val="24"/>
                <w:szCs w:val="24"/>
              </w:rPr>
              <w:t>10</w:t>
            </w:r>
          </w:p>
        </w:tc>
        <w:tc>
          <w:tcPr>
            <w:tcW w:w="4148" w:type="dxa"/>
            <w:shd w:val="clear" w:color="auto" w:fill="auto"/>
            <w:vAlign w:val="center"/>
          </w:tcPr>
          <w:p>
            <w:pPr>
              <w:widowControl/>
              <w:snapToGrid w:val="0"/>
              <w:jc w:val="center"/>
              <w:rPr>
                <w:rFonts w:ascii="Times New Roman" w:hAnsi="Times New Roman" w:eastAsia="仿宋_GB2312" w:cs="Times New Roman"/>
                <w:bCs/>
                <w:color w:val="000000"/>
                <w:kern w:val="0"/>
                <w:sz w:val="24"/>
                <w:szCs w:val="24"/>
              </w:rPr>
            </w:pPr>
            <w:r>
              <w:rPr>
                <w:rFonts w:ascii="Times New Roman" w:hAnsi="Times New Roman" w:eastAsia="仿宋_GB2312" w:cs="Times New Roman"/>
                <w:bCs/>
                <w:color w:val="000000"/>
                <w:kern w:val="0"/>
                <w:sz w:val="24"/>
                <w:szCs w:val="24"/>
              </w:rPr>
              <w:t>地舒单抗注射液</w:t>
            </w:r>
          </w:p>
        </w:tc>
        <w:tc>
          <w:tcPr>
            <w:tcW w:w="4682" w:type="dxa"/>
            <w:shd w:val="clear" w:color="auto" w:fill="auto"/>
            <w:vAlign w:val="center"/>
          </w:tcPr>
          <w:p>
            <w:pPr>
              <w:widowControl/>
              <w:snapToGrid w:val="0"/>
              <w:jc w:val="center"/>
              <w:rPr>
                <w:rFonts w:ascii="Times New Roman" w:hAnsi="Times New Roman" w:eastAsia="仿宋_GB2312" w:cs="Times New Roman"/>
                <w:bCs/>
                <w:color w:val="000000"/>
                <w:kern w:val="0"/>
                <w:sz w:val="24"/>
                <w:szCs w:val="24"/>
              </w:rPr>
            </w:pPr>
            <w:r>
              <w:rPr>
                <w:rFonts w:ascii="Times New Roman" w:hAnsi="Times New Roman" w:eastAsia="仿宋_GB2312" w:cs="Times New Roman"/>
                <w:bCs/>
                <w:color w:val="000000"/>
                <w:kern w:val="0"/>
                <w:sz w:val="24"/>
                <w:szCs w:val="24"/>
              </w:rPr>
              <w:t>骨折风险增高的绝经后妇女的骨质疏松症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5" w:hRule="atLeast"/>
          <w:jc w:val="center"/>
        </w:trPr>
        <w:tc>
          <w:tcPr>
            <w:tcW w:w="809" w:type="dxa"/>
            <w:shd w:val="clear" w:color="auto" w:fill="auto"/>
            <w:vAlign w:val="center"/>
          </w:tcPr>
          <w:p>
            <w:pPr>
              <w:widowControl/>
              <w:adjustRightInd w:val="0"/>
              <w:snapToGrid w:val="0"/>
              <w:jc w:val="center"/>
              <w:rPr>
                <w:rFonts w:ascii="Times New Roman" w:hAnsi="Times New Roman" w:eastAsia="仿宋_GB2312" w:cs="Times New Roman"/>
                <w:bCs/>
                <w:color w:val="000000"/>
                <w:kern w:val="0"/>
                <w:sz w:val="24"/>
                <w:szCs w:val="24"/>
              </w:rPr>
            </w:pPr>
            <w:r>
              <w:rPr>
                <w:rFonts w:ascii="Times New Roman" w:hAnsi="Times New Roman" w:eastAsia="仿宋_GB2312" w:cs="Times New Roman"/>
                <w:bCs/>
                <w:color w:val="000000"/>
                <w:kern w:val="0"/>
                <w:sz w:val="24"/>
                <w:szCs w:val="24"/>
              </w:rPr>
              <w:t>11</w:t>
            </w:r>
          </w:p>
        </w:tc>
        <w:tc>
          <w:tcPr>
            <w:tcW w:w="4148" w:type="dxa"/>
            <w:shd w:val="clear" w:color="auto" w:fill="auto"/>
            <w:vAlign w:val="center"/>
          </w:tcPr>
          <w:p>
            <w:pPr>
              <w:widowControl/>
              <w:snapToGrid w:val="0"/>
              <w:jc w:val="center"/>
              <w:rPr>
                <w:rFonts w:ascii="Times New Roman" w:hAnsi="Times New Roman" w:eastAsia="仿宋_GB2312" w:cs="Times New Roman"/>
                <w:bCs/>
                <w:color w:val="000000"/>
                <w:kern w:val="0"/>
                <w:sz w:val="24"/>
                <w:szCs w:val="24"/>
              </w:rPr>
            </w:pPr>
            <w:r>
              <w:rPr>
                <w:rFonts w:ascii="Times New Roman" w:hAnsi="Times New Roman" w:eastAsia="仿宋_GB2312" w:cs="Times New Roman"/>
                <w:bCs/>
                <w:color w:val="000000"/>
                <w:kern w:val="0"/>
                <w:sz w:val="24"/>
                <w:szCs w:val="24"/>
              </w:rPr>
              <w:t>甘精胰岛素注射液</w:t>
            </w:r>
          </w:p>
        </w:tc>
        <w:tc>
          <w:tcPr>
            <w:tcW w:w="4682" w:type="dxa"/>
            <w:shd w:val="clear" w:color="auto" w:fill="auto"/>
            <w:vAlign w:val="center"/>
          </w:tcPr>
          <w:p>
            <w:pPr>
              <w:widowControl/>
              <w:snapToGrid w:val="0"/>
              <w:jc w:val="center"/>
              <w:rPr>
                <w:rFonts w:ascii="Times New Roman" w:hAnsi="Times New Roman" w:eastAsia="仿宋_GB2312" w:cs="Times New Roman"/>
                <w:bCs/>
                <w:color w:val="000000"/>
                <w:kern w:val="0"/>
                <w:sz w:val="24"/>
                <w:szCs w:val="24"/>
              </w:rPr>
            </w:pPr>
            <w:r>
              <w:rPr>
                <w:rFonts w:ascii="Times New Roman" w:hAnsi="Times New Roman" w:eastAsia="仿宋_GB2312" w:cs="Times New Roman"/>
                <w:bCs/>
                <w:color w:val="000000"/>
                <w:kern w:val="0"/>
                <w:sz w:val="24"/>
                <w:szCs w:val="24"/>
              </w:rPr>
              <w:t>需胰岛素治疗的成人2型糖尿病</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5" w:hRule="atLeast"/>
          <w:jc w:val="center"/>
        </w:trPr>
        <w:tc>
          <w:tcPr>
            <w:tcW w:w="809" w:type="dxa"/>
            <w:shd w:val="clear" w:color="auto" w:fill="auto"/>
            <w:vAlign w:val="center"/>
          </w:tcPr>
          <w:p>
            <w:pPr>
              <w:widowControl/>
              <w:adjustRightInd w:val="0"/>
              <w:snapToGrid w:val="0"/>
              <w:jc w:val="center"/>
              <w:rPr>
                <w:rFonts w:ascii="Times New Roman" w:hAnsi="Times New Roman" w:eastAsia="仿宋_GB2312" w:cs="Times New Roman"/>
                <w:bCs/>
                <w:color w:val="000000"/>
                <w:kern w:val="0"/>
                <w:sz w:val="24"/>
                <w:szCs w:val="24"/>
              </w:rPr>
            </w:pPr>
            <w:r>
              <w:rPr>
                <w:rFonts w:ascii="Times New Roman" w:hAnsi="Times New Roman" w:eastAsia="仿宋_GB2312" w:cs="Times New Roman"/>
                <w:bCs/>
                <w:color w:val="000000"/>
                <w:kern w:val="0"/>
                <w:sz w:val="24"/>
                <w:szCs w:val="24"/>
              </w:rPr>
              <w:t>12</w:t>
            </w:r>
          </w:p>
        </w:tc>
        <w:tc>
          <w:tcPr>
            <w:tcW w:w="4148" w:type="dxa"/>
            <w:shd w:val="clear" w:color="auto" w:fill="auto"/>
            <w:vAlign w:val="center"/>
          </w:tcPr>
          <w:p>
            <w:pPr>
              <w:widowControl/>
              <w:snapToGrid w:val="0"/>
              <w:jc w:val="center"/>
              <w:rPr>
                <w:rFonts w:ascii="Times New Roman" w:hAnsi="Times New Roman" w:eastAsia="仿宋_GB2312" w:cs="Times New Roman"/>
                <w:bCs/>
                <w:color w:val="000000"/>
                <w:kern w:val="0"/>
                <w:sz w:val="24"/>
                <w:szCs w:val="24"/>
              </w:rPr>
            </w:pPr>
            <w:r>
              <w:rPr>
                <w:rFonts w:ascii="Times New Roman" w:hAnsi="Times New Roman" w:eastAsia="仿宋_GB2312" w:cs="Times New Roman"/>
                <w:bCs/>
                <w:color w:val="000000"/>
                <w:kern w:val="0"/>
                <w:sz w:val="24"/>
                <w:szCs w:val="24"/>
              </w:rPr>
              <w:t>格隆溴铵福莫特罗吸入气雾剂</w:t>
            </w:r>
          </w:p>
        </w:tc>
        <w:tc>
          <w:tcPr>
            <w:tcW w:w="4682" w:type="dxa"/>
            <w:shd w:val="clear" w:color="auto" w:fill="auto"/>
            <w:vAlign w:val="center"/>
          </w:tcPr>
          <w:p>
            <w:pPr>
              <w:widowControl/>
              <w:snapToGrid w:val="0"/>
              <w:jc w:val="center"/>
              <w:rPr>
                <w:rFonts w:ascii="Times New Roman" w:hAnsi="Times New Roman" w:eastAsia="仿宋_GB2312" w:cs="Times New Roman"/>
                <w:bCs/>
                <w:color w:val="000000"/>
                <w:kern w:val="0"/>
                <w:sz w:val="24"/>
                <w:szCs w:val="24"/>
              </w:rPr>
            </w:pPr>
            <w:r>
              <w:rPr>
                <w:rFonts w:ascii="Times New Roman" w:hAnsi="Times New Roman" w:eastAsia="仿宋_GB2312" w:cs="Times New Roman"/>
                <w:bCs/>
                <w:color w:val="000000"/>
                <w:kern w:val="0"/>
                <w:sz w:val="24"/>
                <w:szCs w:val="24"/>
              </w:rPr>
              <w:t>慢性阻塞性肺疾病</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5" w:hRule="atLeast"/>
          <w:jc w:val="center"/>
        </w:trPr>
        <w:tc>
          <w:tcPr>
            <w:tcW w:w="809" w:type="dxa"/>
            <w:shd w:val="clear" w:color="auto" w:fill="auto"/>
            <w:vAlign w:val="center"/>
          </w:tcPr>
          <w:p>
            <w:pPr>
              <w:widowControl/>
              <w:adjustRightInd w:val="0"/>
              <w:snapToGrid w:val="0"/>
              <w:jc w:val="center"/>
              <w:rPr>
                <w:rFonts w:ascii="Times New Roman" w:hAnsi="Times New Roman" w:eastAsia="仿宋_GB2312" w:cs="Times New Roman"/>
                <w:bCs/>
                <w:color w:val="000000"/>
                <w:kern w:val="0"/>
                <w:sz w:val="24"/>
                <w:szCs w:val="24"/>
              </w:rPr>
            </w:pPr>
            <w:r>
              <w:rPr>
                <w:rFonts w:ascii="Times New Roman" w:hAnsi="Times New Roman" w:eastAsia="仿宋_GB2312" w:cs="Times New Roman"/>
                <w:bCs/>
                <w:color w:val="000000"/>
                <w:kern w:val="0"/>
                <w:sz w:val="24"/>
                <w:szCs w:val="24"/>
              </w:rPr>
              <w:t>13</w:t>
            </w:r>
          </w:p>
        </w:tc>
        <w:tc>
          <w:tcPr>
            <w:tcW w:w="4148" w:type="dxa"/>
            <w:shd w:val="clear" w:color="auto" w:fill="auto"/>
            <w:vAlign w:val="center"/>
          </w:tcPr>
          <w:p>
            <w:pPr>
              <w:widowControl/>
              <w:snapToGrid w:val="0"/>
              <w:jc w:val="center"/>
              <w:rPr>
                <w:rFonts w:ascii="Times New Roman" w:hAnsi="Times New Roman" w:eastAsia="仿宋_GB2312" w:cs="Times New Roman"/>
                <w:bCs/>
                <w:color w:val="000000"/>
                <w:kern w:val="0"/>
                <w:sz w:val="24"/>
                <w:szCs w:val="24"/>
              </w:rPr>
            </w:pPr>
            <w:r>
              <w:rPr>
                <w:rFonts w:ascii="Times New Roman" w:hAnsi="Times New Roman" w:eastAsia="仿宋_GB2312" w:cs="Times New Roman"/>
                <w:bCs/>
                <w:color w:val="000000"/>
                <w:kern w:val="0"/>
                <w:sz w:val="24"/>
                <w:szCs w:val="24"/>
              </w:rPr>
              <w:t>氯化镭[223Ra]注射液</w:t>
            </w:r>
          </w:p>
        </w:tc>
        <w:tc>
          <w:tcPr>
            <w:tcW w:w="4682" w:type="dxa"/>
            <w:shd w:val="clear" w:color="auto" w:fill="auto"/>
            <w:vAlign w:val="center"/>
          </w:tcPr>
          <w:p>
            <w:pPr>
              <w:widowControl/>
              <w:snapToGrid w:val="0"/>
              <w:jc w:val="center"/>
              <w:rPr>
                <w:rFonts w:ascii="Times New Roman" w:hAnsi="Times New Roman" w:eastAsia="仿宋_GB2312" w:cs="Times New Roman"/>
                <w:bCs/>
                <w:color w:val="000000"/>
                <w:kern w:val="0"/>
                <w:sz w:val="24"/>
                <w:szCs w:val="24"/>
              </w:rPr>
            </w:pPr>
            <w:r>
              <w:rPr>
                <w:rFonts w:ascii="Times New Roman" w:hAnsi="Times New Roman" w:eastAsia="仿宋_GB2312" w:cs="Times New Roman"/>
                <w:bCs/>
                <w:color w:val="000000"/>
                <w:kern w:val="0"/>
                <w:sz w:val="24"/>
                <w:szCs w:val="24"/>
              </w:rPr>
              <w:t>伴骨转移且无已知内脏转移的去势抵抗性前列腺癌</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5" w:hRule="atLeast"/>
          <w:jc w:val="center"/>
        </w:trPr>
        <w:tc>
          <w:tcPr>
            <w:tcW w:w="809" w:type="dxa"/>
            <w:shd w:val="clear" w:color="auto" w:fill="auto"/>
            <w:vAlign w:val="center"/>
          </w:tcPr>
          <w:p>
            <w:pPr>
              <w:widowControl/>
              <w:adjustRightInd w:val="0"/>
              <w:snapToGrid w:val="0"/>
              <w:jc w:val="center"/>
              <w:rPr>
                <w:rFonts w:ascii="Times New Roman" w:hAnsi="Times New Roman" w:eastAsia="仿宋_GB2312" w:cs="Times New Roman"/>
                <w:bCs/>
                <w:color w:val="000000"/>
                <w:kern w:val="0"/>
                <w:sz w:val="24"/>
                <w:szCs w:val="24"/>
              </w:rPr>
            </w:pPr>
            <w:r>
              <w:rPr>
                <w:rFonts w:ascii="Times New Roman" w:hAnsi="Times New Roman" w:eastAsia="仿宋_GB2312" w:cs="Times New Roman"/>
                <w:bCs/>
                <w:color w:val="000000"/>
                <w:kern w:val="0"/>
                <w:sz w:val="24"/>
                <w:szCs w:val="24"/>
              </w:rPr>
              <w:t>14</w:t>
            </w:r>
          </w:p>
        </w:tc>
        <w:tc>
          <w:tcPr>
            <w:tcW w:w="4148" w:type="dxa"/>
            <w:shd w:val="clear" w:color="auto" w:fill="auto"/>
            <w:vAlign w:val="center"/>
          </w:tcPr>
          <w:p>
            <w:pPr>
              <w:widowControl/>
              <w:snapToGrid w:val="0"/>
              <w:jc w:val="center"/>
              <w:rPr>
                <w:rFonts w:ascii="Times New Roman" w:hAnsi="Times New Roman" w:eastAsia="仿宋_GB2312" w:cs="Times New Roman"/>
                <w:bCs/>
                <w:color w:val="000000"/>
                <w:kern w:val="0"/>
                <w:sz w:val="24"/>
                <w:szCs w:val="24"/>
              </w:rPr>
            </w:pPr>
            <w:r>
              <w:rPr>
                <w:rFonts w:ascii="Times New Roman" w:hAnsi="Times New Roman" w:eastAsia="仿宋_GB2312" w:cs="Times New Roman"/>
                <w:bCs/>
                <w:color w:val="000000"/>
                <w:kern w:val="0"/>
                <w:sz w:val="24"/>
                <w:szCs w:val="24"/>
              </w:rPr>
              <w:t>马来酸奈拉替尼片</w:t>
            </w:r>
          </w:p>
        </w:tc>
        <w:tc>
          <w:tcPr>
            <w:tcW w:w="4682" w:type="dxa"/>
            <w:shd w:val="clear" w:color="auto" w:fill="auto"/>
            <w:vAlign w:val="center"/>
          </w:tcPr>
          <w:p>
            <w:pPr>
              <w:widowControl/>
              <w:snapToGrid w:val="0"/>
              <w:jc w:val="center"/>
              <w:rPr>
                <w:rFonts w:ascii="Times New Roman" w:hAnsi="Times New Roman" w:eastAsia="仿宋_GB2312" w:cs="Times New Roman"/>
                <w:bCs/>
                <w:color w:val="000000"/>
                <w:kern w:val="0"/>
                <w:sz w:val="24"/>
                <w:szCs w:val="24"/>
              </w:rPr>
            </w:pPr>
            <w:r>
              <w:rPr>
                <w:rFonts w:ascii="Times New Roman" w:hAnsi="Times New Roman" w:eastAsia="仿宋_GB2312" w:cs="Times New Roman"/>
                <w:bCs/>
                <w:color w:val="000000"/>
                <w:kern w:val="0"/>
                <w:sz w:val="24"/>
                <w:szCs w:val="24"/>
              </w:rPr>
              <w:t>HER2阳性早期乳腺癌的强化辅助治疗。</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5" w:hRule="atLeast"/>
          <w:jc w:val="center"/>
        </w:trPr>
        <w:tc>
          <w:tcPr>
            <w:tcW w:w="809" w:type="dxa"/>
            <w:shd w:val="clear" w:color="auto" w:fill="auto"/>
            <w:vAlign w:val="center"/>
          </w:tcPr>
          <w:p>
            <w:pPr>
              <w:widowControl/>
              <w:adjustRightInd w:val="0"/>
              <w:snapToGrid w:val="0"/>
              <w:jc w:val="center"/>
              <w:rPr>
                <w:rFonts w:ascii="Times New Roman" w:hAnsi="Times New Roman" w:eastAsia="仿宋_GB2312" w:cs="Times New Roman"/>
                <w:bCs/>
                <w:color w:val="000000"/>
                <w:kern w:val="0"/>
                <w:sz w:val="24"/>
                <w:szCs w:val="24"/>
              </w:rPr>
            </w:pPr>
            <w:r>
              <w:rPr>
                <w:rFonts w:ascii="Times New Roman" w:hAnsi="Times New Roman" w:eastAsia="仿宋_GB2312" w:cs="Times New Roman"/>
                <w:bCs/>
                <w:color w:val="000000"/>
                <w:kern w:val="0"/>
                <w:sz w:val="24"/>
                <w:szCs w:val="24"/>
              </w:rPr>
              <w:t>15</w:t>
            </w:r>
          </w:p>
        </w:tc>
        <w:tc>
          <w:tcPr>
            <w:tcW w:w="4148" w:type="dxa"/>
            <w:shd w:val="clear" w:color="auto" w:fill="auto"/>
            <w:vAlign w:val="center"/>
          </w:tcPr>
          <w:p>
            <w:pPr>
              <w:widowControl/>
              <w:snapToGrid w:val="0"/>
              <w:jc w:val="center"/>
              <w:rPr>
                <w:rFonts w:ascii="Times New Roman" w:hAnsi="Times New Roman" w:eastAsia="仿宋_GB2312" w:cs="Times New Roman"/>
                <w:bCs/>
                <w:color w:val="000000"/>
                <w:kern w:val="0"/>
                <w:sz w:val="24"/>
                <w:szCs w:val="24"/>
              </w:rPr>
            </w:pPr>
            <w:r>
              <w:rPr>
                <w:rFonts w:ascii="Times New Roman" w:hAnsi="Times New Roman" w:eastAsia="仿宋_GB2312" w:cs="Times New Roman"/>
                <w:bCs/>
                <w:color w:val="000000"/>
                <w:kern w:val="0"/>
                <w:sz w:val="24"/>
                <w:szCs w:val="24"/>
              </w:rPr>
              <w:t>普拉曲沙注射液</w:t>
            </w:r>
          </w:p>
        </w:tc>
        <w:tc>
          <w:tcPr>
            <w:tcW w:w="4682" w:type="dxa"/>
            <w:shd w:val="clear" w:color="auto" w:fill="auto"/>
            <w:vAlign w:val="center"/>
          </w:tcPr>
          <w:p>
            <w:pPr>
              <w:widowControl/>
              <w:snapToGrid w:val="0"/>
              <w:jc w:val="center"/>
              <w:rPr>
                <w:rFonts w:ascii="Times New Roman" w:hAnsi="Times New Roman" w:eastAsia="仿宋_GB2312" w:cs="Times New Roman"/>
                <w:bCs/>
                <w:color w:val="000000"/>
                <w:kern w:val="0"/>
                <w:sz w:val="24"/>
                <w:szCs w:val="24"/>
              </w:rPr>
            </w:pPr>
            <w:r>
              <w:rPr>
                <w:rFonts w:ascii="Times New Roman" w:hAnsi="Times New Roman" w:eastAsia="仿宋_GB2312" w:cs="Times New Roman"/>
                <w:bCs/>
                <w:color w:val="000000"/>
                <w:kern w:val="0"/>
                <w:sz w:val="24"/>
                <w:szCs w:val="24"/>
              </w:rPr>
              <w:t>复发或难治性外周T细胞淋巴瘤</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5" w:hRule="atLeast"/>
          <w:jc w:val="center"/>
        </w:trPr>
        <w:tc>
          <w:tcPr>
            <w:tcW w:w="809" w:type="dxa"/>
            <w:shd w:val="clear" w:color="auto" w:fill="auto"/>
            <w:vAlign w:val="center"/>
          </w:tcPr>
          <w:p>
            <w:pPr>
              <w:widowControl/>
              <w:adjustRightInd w:val="0"/>
              <w:snapToGrid w:val="0"/>
              <w:jc w:val="center"/>
              <w:rPr>
                <w:rFonts w:ascii="Times New Roman" w:hAnsi="Times New Roman" w:eastAsia="仿宋_GB2312" w:cs="Times New Roman"/>
                <w:bCs/>
                <w:color w:val="000000"/>
                <w:kern w:val="0"/>
                <w:sz w:val="24"/>
                <w:szCs w:val="24"/>
              </w:rPr>
            </w:pPr>
            <w:r>
              <w:rPr>
                <w:rFonts w:ascii="Times New Roman" w:hAnsi="Times New Roman" w:eastAsia="仿宋_GB2312" w:cs="Times New Roman"/>
                <w:bCs/>
                <w:color w:val="000000"/>
                <w:kern w:val="0"/>
                <w:sz w:val="24"/>
                <w:szCs w:val="24"/>
              </w:rPr>
              <w:t>16</w:t>
            </w:r>
          </w:p>
        </w:tc>
        <w:tc>
          <w:tcPr>
            <w:tcW w:w="4148" w:type="dxa"/>
            <w:shd w:val="clear" w:color="auto" w:fill="auto"/>
            <w:vAlign w:val="center"/>
          </w:tcPr>
          <w:p>
            <w:pPr>
              <w:widowControl/>
              <w:snapToGrid w:val="0"/>
              <w:jc w:val="center"/>
              <w:rPr>
                <w:rFonts w:ascii="Times New Roman" w:hAnsi="Times New Roman" w:eastAsia="仿宋_GB2312" w:cs="Times New Roman"/>
                <w:bCs/>
                <w:color w:val="000000"/>
                <w:kern w:val="0"/>
                <w:sz w:val="24"/>
                <w:szCs w:val="24"/>
              </w:rPr>
            </w:pPr>
            <w:r>
              <w:rPr>
                <w:rFonts w:ascii="Times New Roman" w:hAnsi="Times New Roman" w:eastAsia="仿宋_GB2312" w:cs="Times New Roman"/>
                <w:bCs/>
                <w:color w:val="000000"/>
                <w:kern w:val="0"/>
                <w:sz w:val="24"/>
                <w:szCs w:val="24"/>
              </w:rPr>
              <w:t>维奈克拉片</w:t>
            </w:r>
          </w:p>
        </w:tc>
        <w:tc>
          <w:tcPr>
            <w:tcW w:w="4682" w:type="dxa"/>
            <w:shd w:val="clear" w:color="auto" w:fill="auto"/>
            <w:vAlign w:val="center"/>
          </w:tcPr>
          <w:p>
            <w:pPr>
              <w:widowControl/>
              <w:snapToGrid w:val="0"/>
              <w:jc w:val="center"/>
              <w:rPr>
                <w:rFonts w:ascii="Times New Roman" w:hAnsi="Times New Roman" w:eastAsia="仿宋_GB2312" w:cs="Times New Roman"/>
                <w:bCs/>
                <w:color w:val="000000"/>
                <w:kern w:val="0"/>
                <w:sz w:val="24"/>
                <w:szCs w:val="24"/>
              </w:rPr>
            </w:pPr>
            <w:r>
              <w:rPr>
                <w:rFonts w:ascii="Times New Roman" w:hAnsi="Times New Roman" w:eastAsia="仿宋_GB2312" w:cs="Times New Roman"/>
                <w:bCs/>
                <w:color w:val="000000"/>
                <w:kern w:val="0"/>
                <w:sz w:val="24"/>
                <w:szCs w:val="24"/>
              </w:rPr>
              <w:t>联合阿扎胞苷用于不耐受强诱导化疗的急性髓系白血病</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5" w:hRule="atLeast"/>
          <w:jc w:val="center"/>
        </w:trPr>
        <w:tc>
          <w:tcPr>
            <w:tcW w:w="809" w:type="dxa"/>
            <w:shd w:val="clear" w:color="auto" w:fill="auto"/>
            <w:vAlign w:val="center"/>
          </w:tcPr>
          <w:p>
            <w:pPr>
              <w:widowControl/>
              <w:adjustRightInd w:val="0"/>
              <w:snapToGrid w:val="0"/>
              <w:jc w:val="center"/>
              <w:rPr>
                <w:rFonts w:ascii="Times New Roman" w:hAnsi="Times New Roman" w:eastAsia="仿宋_GB2312" w:cs="Times New Roman"/>
                <w:bCs/>
                <w:color w:val="000000"/>
                <w:kern w:val="0"/>
                <w:sz w:val="24"/>
                <w:szCs w:val="24"/>
              </w:rPr>
            </w:pPr>
            <w:r>
              <w:rPr>
                <w:rFonts w:ascii="Times New Roman" w:hAnsi="Times New Roman" w:eastAsia="仿宋_GB2312" w:cs="Times New Roman"/>
                <w:bCs/>
                <w:color w:val="000000"/>
                <w:kern w:val="0"/>
                <w:sz w:val="24"/>
                <w:szCs w:val="24"/>
              </w:rPr>
              <w:t>17</w:t>
            </w:r>
          </w:p>
        </w:tc>
        <w:tc>
          <w:tcPr>
            <w:tcW w:w="4148" w:type="dxa"/>
            <w:shd w:val="clear" w:color="auto" w:fill="auto"/>
            <w:vAlign w:val="center"/>
          </w:tcPr>
          <w:p>
            <w:pPr>
              <w:widowControl/>
              <w:snapToGrid w:val="0"/>
              <w:jc w:val="center"/>
              <w:rPr>
                <w:rFonts w:ascii="Times New Roman" w:hAnsi="Times New Roman" w:eastAsia="仿宋_GB2312" w:cs="Times New Roman"/>
                <w:bCs/>
                <w:color w:val="000000"/>
                <w:kern w:val="0"/>
                <w:sz w:val="24"/>
                <w:szCs w:val="24"/>
              </w:rPr>
            </w:pPr>
            <w:r>
              <w:rPr>
                <w:rFonts w:ascii="Times New Roman" w:hAnsi="Times New Roman" w:eastAsia="仿宋_GB2312" w:cs="Times New Roman"/>
                <w:bCs/>
                <w:color w:val="000000"/>
                <w:kern w:val="0"/>
                <w:sz w:val="24"/>
                <w:szCs w:val="24"/>
              </w:rPr>
              <w:t>盐酸安非他酮缓释片（</w:t>
            </w:r>
            <w:r>
              <w:rPr>
                <w:rFonts w:hint="eastAsia" w:ascii="宋体" w:hAnsi="宋体" w:eastAsia="宋体" w:cs="宋体"/>
                <w:bCs/>
                <w:color w:val="000000"/>
                <w:kern w:val="0"/>
                <w:sz w:val="24"/>
                <w:szCs w:val="24"/>
              </w:rPr>
              <w:t>Ⅱ</w:t>
            </w:r>
            <w:r>
              <w:rPr>
                <w:rFonts w:ascii="Times New Roman" w:hAnsi="Times New Roman" w:eastAsia="仿宋_GB2312" w:cs="Times New Roman"/>
                <w:bCs/>
                <w:color w:val="000000"/>
                <w:kern w:val="0"/>
                <w:sz w:val="24"/>
                <w:szCs w:val="24"/>
              </w:rPr>
              <w:t>）</w:t>
            </w:r>
          </w:p>
        </w:tc>
        <w:tc>
          <w:tcPr>
            <w:tcW w:w="4682" w:type="dxa"/>
            <w:shd w:val="clear" w:color="auto" w:fill="auto"/>
            <w:vAlign w:val="center"/>
          </w:tcPr>
          <w:p>
            <w:pPr>
              <w:widowControl/>
              <w:snapToGrid w:val="0"/>
              <w:jc w:val="center"/>
              <w:rPr>
                <w:rFonts w:ascii="Times New Roman" w:hAnsi="Times New Roman" w:eastAsia="仿宋_GB2312" w:cs="Times New Roman"/>
                <w:bCs/>
                <w:color w:val="000000"/>
                <w:kern w:val="0"/>
                <w:sz w:val="24"/>
                <w:szCs w:val="24"/>
              </w:rPr>
            </w:pPr>
            <w:r>
              <w:rPr>
                <w:rFonts w:ascii="Times New Roman" w:hAnsi="Times New Roman" w:eastAsia="仿宋_GB2312" w:cs="Times New Roman"/>
                <w:bCs/>
                <w:color w:val="000000"/>
                <w:kern w:val="0"/>
                <w:sz w:val="24"/>
                <w:szCs w:val="24"/>
              </w:rPr>
              <w:t>抑郁症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5" w:hRule="atLeast"/>
          <w:jc w:val="center"/>
        </w:trPr>
        <w:tc>
          <w:tcPr>
            <w:tcW w:w="809" w:type="dxa"/>
            <w:shd w:val="clear" w:color="auto" w:fill="auto"/>
            <w:vAlign w:val="center"/>
          </w:tcPr>
          <w:p>
            <w:pPr>
              <w:widowControl/>
              <w:adjustRightInd w:val="0"/>
              <w:snapToGrid w:val="0"/>
              <w:jc w:val="center"/>
              <w:rPr>
                <w:rFonts w:ascii="Times New Roman" w:hAnsi="Times New Roman" w:eastAsia="仿宋_GB2312" w:cs="Times New Roman"/>
                <w:bCs/>
                <w:color w:val="000000"/>
                <w:kern w:val="0"/>
                <w:sz w:val="24"/>
                <w:szCs w:val="24"/>
              </w:rPr>
            </w:pPr>
            <w:r>
              <w:rPr>
                <w:rFonts w:ascii="Times New Roman" w:hAnsi="Times New Roman" w:eastAsia="仿宋_GB2312" w:cs="Times New Roman"/>
                <w:bCs/>
                <w:color w:val="000000"/>
                <w:kern w:val="0"/>
                <w:sz w:val="24"/>
                <w:szCs w:val="24"/>
              </w:rPr>
              <w:t>18</w:t>
            </w:r>
          </w:p>
        </w:tc>
        <w:tc>
          <w:tcPr>
            <w:tcW w:w="4148" w:type="dxa"/>
            <w:shd w:val="clear" w:color="auto" w:fill="auto"/>
            <w:vAlign w:val="center"/>
          </w:tcPr>
          <w:p>
            <w:pPr>
              <w:widowControl/>
              <w:snapToGrid w:val="0"/>
              <w:jc w:val="center"/>
              <w:rPr>
                <w:rFonts w:ascii="Times New Roman" w:hAnsi="Times New Roman" w:eastAsia="仿宋_GB2312" w:cs="Times New Roman"/>
                <w:bCs/>
                <w:color w:val="000000"/>
                <w:kern w:val="0"/>
                <w:sz w:val="24"/>
                <w:szCs w:val="24"/>
              </w:rPr>
            </w:pPr>
            <w:r>
              <w:rPr>
                <w:rFonts w:ascii="Times New Roman" w:hAnsi="Times New Roman" w:eastAsia="仿宋_GB2312" w:cs="Times New Roman"/>
                <w:bCs/>
                <w:color w:val="000000"/>
                <w:kern w:val="0"/>
                <w:sz w:val="24"/>
                <w:szCs w:val="24"/>
              </w:rPr>
              <w:t>盐酸帕洛诺司琼软胶囊</w:t>
            </w:r>
          </w:p>
        </w:tc>
        <w:tc>
          <w:tcPr>
            <w:tcW w:w="4682" w:type="dxa"/>
            <w:shd w:val="clear" w:color="auto" w:fill="auto"/>
            <w:vAlign w:val="center"/>
          </w:tcPr>
          <w:p>
            <w:pPr>
              <w:widowControl/>
              <w:snapToGrid w:val="0"/>
              <w:jc w:val="center"/>
              <w:rPr>
                <w:rFonts w:ascii="Times New Roman" w:hAnsi="Times New Roman" w:eastAsia="仿宋_GB2312" w:cs="Times New Roman"/>
                <w:bCs/>
                <w:color w:val="000000"/>
                <w:kern w:val="0"/>
                <w:sz w:val="24"/>
                <w:szCs w:val="24"/>
              </w:rPr>
            </w:pPr>
            <w:r>
              <w:rPr>
                <w:rFonts w:ascii="Times New Roman" w:hAnsi="Times New Roman" w:eastAsia="仿宋_GB2312" w:cs="Times New Roman"/>
                <w:bCs/>
                <w:color w:val="000000"/>
                <w:kern w:val="0"/>
                <w:sz w:val="24"/>
                <w:szCs w:val="24"/>
              </w:rPr>
              <w:t>预防中度致吐性化疗引起的恶心和呕吐。</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5" w:hRule="atLeast"/>
          <w:jc w:val="center"/>
        </w:trPr>
        <w:tc>
          <w:tcPr>
            <w:tcW w:w="809" w:type="dxa"/>
            <w:shd w:val="clear" w:color="auto" w:fill="auto"/>
            <w:vAlign w:val="center"/>
          </w:tcPr>
          <w:p>
            <w:pPr>
              <w:widowControl/>
              <w:adjustRightInd w:val="0"/>
              <w:snapToGrid w:val="0"/>
              <w:jc w:val="center"/>
              <w:rPr>
                <w:rFonts w:ascii="Times New Roman" w:hAnsi="Times New Roman" w:eastAsia="仿宋_GB2312" w:cs="Times New Roman"/>
                <w:bCs/>
                <w:color w:val="000000"/>
                <w:kern w:val="0"/>
                <w:sz w:val="24"/>
                <w:szCs w:val="24"/>
              </w:rPr>
            </w:pPr>
            <w:r>
              <w:rPr>
                <w:rFonts w:ascii="Times New Roman" w:hAnsi="Times New Roman" w:eastAsia="仿宋_GB2312" w:cs="Times New Roman"/>
                <w:bCs/>
                <w:color w:val="000000"/>
                <w:kern w:val="0"/>
                <w:sz w:val="24"/>
                <w:szCs w:val="24"/>
              </w:rPr>
              <w:t>19</w:t>
            </w:r>
          </w:p>
        </w:tc>
        <w:tc>
          <w:tcPr>
            <w:tcW w:w="4148" w:type="dxa"/>
            <w:shd w:val="clear" w:color="auto" w:fill="auto"/>
            <w:vAlign w:val="center"/>
          </w:tcPr>
          <w:p>
            <w:pPr>
              <w:widowControl/>
              <w:snapToGrid w:val="0"/>
              <w:jc w:val="center"/>
              <w:rPr>
                <w:rFonts w:ascii="Times New Roman" w:hAnsi="Times New Roman" w:eastAsia="仿宋_GB2312" w:cs="Times New Roman"/>
                <w:bCs/>
                <w:color w:val="000000"/>
                <w:kern w:val="0"/>
                <w:sz w:val="24"/>
                <w:szCs w:val="24"/>
              </w:rPr>
            </w:pPr>
            <w:r>
              <w:rPr>
                <w:rFonts w:ascii="Times New Roman" w:hAnsi="Times New Roman" w:eastAsia="仿宋_GB2312" w:cs="Times New Roman"/>
                <w:bCs/>
                <w:color w:val="000000"/>
                <w:kern w:val="0"/>
                <w:sz w:val="24"/>
                <w:szCs w:val="24"/>
              </w:rPr>
              <w:t>盐酸曲唑酮缓释片</w:t>
            </w:r>
          </w:p>
        </w:tc>
        <w:tc>
          <w:tcPr>
            <w:tcW w:w="4682" w:type="dxa"/>
            <w:shd w:val="clear" w:color="auto" w:fill="auto"/>
            <w:vAlign w:val="center"/>
          </w:tcPr>
          <w:p>
            <w:pPr>
              <w:widowControl/>
              <w:snapToGrid w:val="0"/>
              <w:jc w:val="center"/>
              <w:rPr>
                <w:rFonts w:ascii="Times New Roman" w:hAnsi="Times New Roman" w:eastAsia="仿宋_GB2312" w:cs="Times New Roman"/>
                <w:bCs/>
                <w:color w:val="000000"/>
                <w:kern w:val="0"/>
                <w:sz w:val="24"/>
                <w:szCs w:val="24"/>
              </w:rPr>
            </w:pPr>
            <w:r>
              <w:rPr>
                <w:rFonts w:ascii="Times New Roman" w:hAnsi="Times New Roman" w:eastAsia="仿宋_GB2312" w:cs="Times New Roman"/>
                <w:bCs/>
                <w:color w:val="000000"/>
                <w:kern w:val="0"/>
                <w:sz w:val="24"/>
                <w:szCs w:val="24"/>
              </w:rPr>
              <w:t>抑郁症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5" w:hRule="atLeast"/>
          <w:jc w:val="center"/>
        </w:trPr>
        <w:tc>
          <w:tcPr>
            <w:tcW w:w="809" w:type="dxa"/>
            <w:shd w:val="clear" w:color="auto" w:fill="auto"/>
            <w:vAlign w:val="center"/>
          </w:tcPr>
          <w:p>
            <w:pPr>
              <w:widowControl/>
              <w:adjustRightInd w:val="0"/>
              <w:snapToGrid w:val="0"/>
              <w:jc w:val="center"/>
              <w:rPr>
                <w:rFonts w:ascii="Times New Roman" w:hAnsi="Times New Roman" w:eastAsia="仿宋_GB2312" w:cs="Times New Roman"/>
                <w:bCs/>
                <w:color w:val="000000"/>
                <w:kern w:val="0"/>
                <w:sz w:val="24"/>
                <w:szCs w:val="24"/>
              </w:rPr>
            </w:pPr>
            <w:r>
              <w:rPr>
                <w:rFonts w:ascii="Times New Roman" w:hAnsi="Times New Roman" w:eastAsia="仿宋_GB2312" w:cs="Times New Roman"/>
                <w:bCs/>
                <w:color w:val="000000"/>
                <w:kern w:val="0"/>
                <w:sz w:val="24"/>
                <w:szCs w:val="24"/>
              </w:rPr>
              <w:t>20</w:t>
            </w:r>
          </w:p>
        </w:tc>
        <w:tc>
          <w:tcPr>
            <w:tcW w:w="4148" w:type="dxa"/>
            <w:shd w:val="clear" w:color="auto" w:fill="auto"/>
            <w:vAlign w:val="center"/>
          </w:tcPr>
          <w:p>
            <w:pPr>
              <w:widowControl/>
              <w:snapToGrid w:val="0"/>
              <w:jc w:val="center"/>
              <w:rPr>
                <w:rFonts w:ascii="Times New Roman" w:hAnsi="Times New Roman" w:eastAsia="仿宋_GB2312" w:cs="Times New Roman"/>
                <w:bCs/>
                <w:color w:val="000000"/>
                <w:kern w:val="0"/>
                <w:sz w:val="24"/>
                <w:szCs w:val="24"/>
              </w:rPr>
            </w:pPr>
            <w:r>
              <w:rPr>
                <w:rFonts w:ascii="Times New Roman" w:hAnsi="Times New Roman" w:eastAsia="仿宋_GB2312" w:cs="Times New Roman"/>
                <w:bCs/>
                <w:color w:val="000000"/>
                <w:kern w:val="0"/>
                <w:sz w:val="24"/>
                <w:szCs w:val="24"/>
              </w:rPr>
              <w:t>注射用贝林妥欧单抗</w:t>
            </w:r>
          </w:p>
        </w:tc>
        <w:tc>
          <w:tcPr>
            <w:tcW w:w="4682" w:type="dxa"/>
            <w:shd w:val="clear" w:color="auto" w:fill="auto"/>
            <w:vAlign w:val="center"/>
          </w:tcPr>
          <w:p>
            <w:pPr>
              <w:widowControl/>
              <w:snapToGrid w:val="0"/>
              <w:jc w:val="center"/>
              <w:rPr>
                <w:rFonts w:ascii="Times New Roman" w:hAnsi="Times New Roman" w:eastAsia="仿宋_GB2312" w:cs="Times New Roman"/>
                <w:bCs/>
                <w:color w:val="000000"/>
                <w:kern w:val="0"/>
                <w:sz w:val="24"/>
                <w:szCs w:val="24"/>
              </w:rPr>
            </w:pPr>
            <w:r>
              <w:rPr>
                <w:rFonts w:ascii="Times New Roman" w:hAnsi="Times New Roman" w:eastAsia="仿宋_GB2312" w:cs="Times New Roman"/>
                <w:bCs/>
                <w:color w:val="000000"/>
                <w:kern w:val="0"/>
                <w:sz w:val="24"/>
                <w:szCs w:val="24"/>
              </w:rPr>
              <w:t>复发或难治性前体B细胞急性淋巴细胞白血病</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5" w:hRule="atLeast"/>
          <w:jc w:val="center"/>
        </w:trPr>
        <w:tc>
          <w:tcPr>
            <w:tcW w:w="809" w:type="dxa"/>
            <w:shd w:val="clear" w:color="auto" w:fill="auto"/>
            <w:vAlign w:val="center"/>
          </w:tcPr>
          <w:p>
            <w:pPr>
              <w:widowControl/>
              <w:adjustRightInd w:val="0"/>
              <w:snapToGrid w:val="0"/>
              <w:jc w:val="center"/>
              <w:rPr>
                <w:rFonts w:ascii="Times New Roman" w:hAnsi="Times New Roman" w:eastAsia="仿宋_GB2312" w:cs="Times New Roman"/>
                <w:bCs/>
                <w:color w:val="000000"/>
                <w:kern w:val="0"/>
                <w:sz w:val="24"/>
                <w:szCs w:val="24"/>
              </w:rPr>
            </w:pPr>
            <w:r>
              <w:rPr>
                <w:rFonts w:ascii="Times New Roman" w:hAnsi="Times New Roman" w:eastAsia="仿宋_GB2312" w:cs="Times New Roman"/>
                <w:bCs/>
                <w:color w:val="000000"/>
                <w:kern w:val="0"/>
                <w:sz w:val="24"/>
                <w:szCs w:val="24"/>
              </w:rPr>
              <w:t>21</w:t>
            </w:r>
          </w:p>
        </w:tc>
        <w:tc>
          <w:tcPr>
            <w:tcW w:w="4148" w:type="dxa"/>
            <w:shd w:val="clear" w:color="auto" w:fill="auto"/>
            <w:vAlign w:val="center"/>
          </w:tcPr>
          <w:p>
            <w:pPr>
              <w:widowControl/>
              <w:snapToGrid w:val="0"/>
              <w:jc w:val="center"/>
              <w:rPr>
                <w:rFonts w:ascii="Times New Roman" w:hAnsi="Times New Roman" w:eastAsia="仿宋_GB2312" w:cs="Times New Roman"/>
                <w:bCs/>
                <w:color w:val="000000"/>
                <w:kern w:val="0"/>
                <w:sz w:val="24"/>
                <w:szCs w:val="24"/>
              </w:rPr>
            </w:pPr>
            <w:r>
              <w:rPr>
                <w:rFonts w:ascii="Times New Roman" w:hAnsi="Times New Roman" w:eastAsia="仿宋_GB2312" w:cs="Times New Roman"/>
                <w:bCs/>
                <w:color w:val="000000"/>
                <w:kern w:val="0"/>
                <w:sz w:val="24"/>
                <w:szCs w:val="24"/>
              </w:rPr>
              <w:t>注射用恩美曲妥珠单抗</w:t>
            </w:r>
          </w:p>
        </w:tc>
        <w:tc>
          <w:tcPr>
            <w:tcW w:w="4682" w:type="dxa"/>
            <w:shd w:val="clear" w:color="auto" w:fill="auto"/>
            <w:vAlign w:val="center"/>
          </w:tcPr>
          <w:p>
            <w:pPr>
              <w:widowControl/>
              <w:snapToGrid w:val="0"/>
              <w:jc w:val="center"/>
              <w:rPr>
                <w:rFonts w:ascii="Times New Roman" w:hAnsi="Times New Roman" w:eastAsia="仿宋_GB2312" w:cs="Times New Roman"/>
                <w:bCs/>
                <w:color w:val="000000"/>
                <w:kern w:val="0"/>
                <w:sz w:val="24"/>
                <w:szCs w:val="24"/>
              </w:rPr>
            </w:pPr>
            <w:r>
              <w:rPr>
                <w:rFonts w:ascii="Times New Roman" w:hAnsi="Times New Roman" w:eastAsia="仿宋_GB2312" w:cs="Times New Roman"/>
                <w:bCs/>
                <w:color w:val="000000"/>
                <w:kern w:val="0"/>
                <w:sz w:val="24"/>
                <w:szCs w:val="24"/>
              </w:rPr>
              <w:t>HER2阳性高复发风险早期乳腺癌的辅助治疗</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5" w:hRule="atLeast"/>
          <w:jc w:val="center"/>
        </w:trPr>
        <w:tc>
          <w:tcPr>
            <w:tcW w:w="809" w:type="dxa"/>
            <w:shd w:val="clear" w:color="auto" w:fill="auto"/>
            <w:vAlign w:val="center"/>
          </w:tcPr>
          <w:p>
            <w:pPr>
              <w:widowControl/>
              <w:adjustRightInd w:val="0"/>
              <w:snapToGrid w:val="0"/>
              <w:jc w:val="center"/>
              <w:rPr>
                <w:rFonts w:ascii="Times New Roman" w:hAnsi="Times New Roman" w:eastAsia="仿宋_GB2312" w:cs="Times New Roman"/>
                <w:bCs/>
                <w:color w:val="000000"/>
                <w:kern w:val="0"/>
                <w:sz w:val="24"/>
                <w:szCs w:val="24"/>
              </w:rPr>
            </w:pPr>
            <w:r>
              <w:rPr>
                <w:rFonts w:ascii="Times New Roman" w:hAnsi="Times New Roman" w:eastAsia="仿宋_GB2312" w:cs="Times New Roman"/>
                <w:bCs/>
                <w:color w:val="000000"/>
                <w:kern w:val="0"/>
                <w:sz w:val="24"/>
                <w:szCs w:val="24"/>
              </w:rPr>
              <w:t>22</w:t>
            </w:r>
          </w:p>
        </w:tc>
        <w:tc>
          <w:tcPr>
            <w:tcW w:w="4148" w:type="dxa"/>
            <w:shd w:val="clear" w:color="auto" w:fill="auto"/>
            <w:vAlign w:val="center"/>
          </w:tcPr>
          <w:p>
            <w:pPr>
              <w:widowControl/>
              <w:snapToGrid w:val="0"/>
              <w:jc w:val="center"/>
              <w:rPr>
                <w:rFonts w:ascii="Times New Roman" w:hAnsi="Times New Roman" w:eastAsia="仿宋_GB2312" w:cs="Times New Roman"/>
                <w:bCs/>
                <w:color w:val="000000"/>
                <w:kern w:val="0"/>
                <w:sz w:val="24"/>
                <w:szCs w:val="24"/>
              </w:rPr>
            </w:pPr>
            <w:r>
              <w:rPr>
                <w:rFonts w:ascii="Times New Roman" w:hAnsi="Times New Roman" w:eastAsia="仿宋_GB2312" w:cs="Times New Roman"/>
                <w:bCs/>
                <w:color w:val="000000"/>
                <w:kern w:val="0"/>
                <w:sz w:val="24"/>
                <w:szCs w:val="24"/>
              </w:rPr>
              <w:t>注射用拉罗尼酶浓溶液</w:t>
            </w:r>
          </w:p>
        </w:tc>
        <w:tc>
          <w:tcPr>
            <w:tcW w:w="4682" w:type="dxa"/>
            <w:shd w:val="clear" w:color="auto" w:fill="auto"/>
            <w:vAlign w:val="center"/>
          </w:tcPr>
          <w:p>
            <w:pPr>
              <w:widowControl/>
              <w:snapToGrid w:val="0"/>
              <w:jc w:val="center"/>
              <w:rPr>
                <w:rFonts w:ascii="Times New Roman" w:hAnsi="Times New Roman" w:eastAsia="仿宋_GB2312" w:cs="Times New Roman"/>
                <w:bCs/>
                <w:color w:val="000000"/>
                <w:kern w:val="0"/>
                <w:sz w:val="24"/>
                <w:szCs w:val="24"/>
              </w:rPr>
            </w:pPr>
            <w:r>
              <w:rPr>
                <w:rFonts w:ascii="Times New Roman" w:hAnsi="Times New Roman" w:eastAsia="仿宋_GB2312" w:cs="Times New Roman"/>
                <w:bCs/>
                <w:color w:val="000000"/>
                <w:kern w:val="0"/>
                <w:sz w:val="24"/>
                <w:szCs w:val="24"/>
              </w:rPr>
              <w:t>黏多糖贮积症I型</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5" w:hRule="atLeast"/>
          <w:jc w:val="center"/>
        </w:trPr>
        <w:tc>
          <w:tcPr>
            <w:tcW w:w="809" w:type="dxa"/>
            <w:shd w:val="clear" w:color="auto" w:fill="auto"/>
            <w:vAlign w:val="center"/>
          </w:tcPr>
          <w:p>
            <w:pPr>
              <w:widowControl/>
              <w:adjustRightInd w:val="0"/>
              <w:snapToGrid w:val="0"/>
              <w:jc w:val="center"/>
              <w:rPr>
                <w:rFonts w:ascii="Times New Roman" w:hAnsi="Times New Roman" w:eastAsia="仿宋_GB2312" w:cs="Times New Roman"/>
                <w:bCs/>
                <w:color w:val="000000"/>
                <w:kern w:val="0"/>
                <w:sz w:val="24"/>
                <w:szCs w:val="24"/>
              </w:rPr>
            </w:pPr>
            <w:r>
              <w:rPr>
                <w:rFonts w:ascii="Times New Roman" w:hAnsi="Times New Roman" w:eastAsia="仿宋_GB2312" w:cs="Times New Roman"/>
                <w:bCs/>
                <w:color w:val="000000"/>
                <w:kern w:val="0"/>
                <w:sz w:val="24"/>
                <w:szCs w:val="24"/>
              </w:rPr>
              <w:t>23</w:t>
            </w:r>
          </w:p>
        </w:tc>
        <w:tc>
          <w:tcPr>
            <w:tcW w:w="4148" w:type="dxa"/>
            <w:shd w:val="clear" w:color="auto" w:fill="auto"/>
            <w:vAlign w:val="center"/>
          </w:tcPr>
          <w:p>
            <w:pPr>
              <w:widowControl/>
              <w:snapToGrid w:val="0"/>
              <w:jc w:val="center"/>
              <w:rPr>
                <w:rFonts w:ascii="Times New Roman" w:hAnsi="Times New Roman" w:eastAsia="仿宋_GB2312" w:cs="Times New Roman"/>
                <w:bCs/>
                <w:color w:val="000000"/>
                <w:kern w:val="0"/>
                <w:sz w:val="24"/>
                <w:szCs w:val="24"/>
              </w:rPr>
            </w:pPr>
            <w:r>
              <w:rPr>
                <w:rFonts w:ascii="Times New Roman" w:hAnsi="Times New Roman" w:eastAsia="仿宋_GB2312" w:cs="Times New Roman"/>
                <w:bCs/>
                <w:color w:val="000000"/>
                <w:kern w:val="0"/>
                <w:sz w:val="24"/>
                <w:szCs w:val="24"/>
              </w:rPr>
              <w:t>注射用维布妥昔单抗</w:t>
            </w:r>
          </w:p>
        </w:tc>
        <w:tc>
          <w:tcPr>
            <w:tcW w:w="4682" w:type="dxa"/>
            <w:shd w:val="clear" w:color="auto" w:fill="auto"/>
            <w:vAlign w:val="center"/>
          </w:tcPr>
          <w:p>
            <w:pPr>
              <w:widowControl/>
              <w:snapToGrid w:val="0"/>
              <w:jc w:val="center"/>
              <w:rPr>
                <w:rFonts w:ascii="Times New Roman" w:hAnsi="Times New Roman" w:eastAsia="仿宋_GB2312" w:cs="Times New Roman"/>
                <w:bCs/>
                <w:color w:val="000000"/>
                <w:kern w:val="0"/>
                <w:sz w:val="24"/>
                <w:szCs w:val="24"/>
              </w:rPr>
            </w:pPr>
            <w:r>
              <w:rPr>
                <w:rFonts w:ascii="Times New Roman" w:hAnsi="Times New Roman" w:eastAsia="仿宋_GB2312" w:cs="Times New Roman"/>
                <w:bCs/>
                <w:color w:val="000000"/>
                <w:kern w:val="0"/>
                <w:sz w:val="24"/>
                <w:szCs w:val="24"/>
              </w:rPr>
              <w:t>CD30阳性淋巴瘤：复发或难治性系统性间变性大细胞淋巴瘤和经典型霍奇金淋巴瘤</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5" w:hRule="atLeast"/>
          <w:jc w:val="center"/>
        </w:trPr>
        <w:tc>
          <w:tcPr>
            <w:tcW w:w="809" w:type="dxa"/>
            <w:shd w:val="clear" w:color="auto" w:fill="auto"/>
            <w:vAlign w:val="center"/>
          </w:tcPr>
          <w:p>
            <w:pPr>
              <w:widowControl/>
              <w:adjustRightInd w:val="0"/>
              <w:snapToGrid w:val="0"/>
              <w:jc w:val="center"/>
              <w:rPr>
                <w:rFonts w:ascii="Times New Roman" w:hAnsi="Times New Roman" w:eastAsia="仿宋_GB2312" w:cs="Times New Roman"/>
                <w:bCs/>
                <w:color w:val="000000"/>
                <w:kern w:val="0"/>
                <w:sz w:val="24"/>
                <w:szCs w:val="24"/>
              </w:rPr>
            </w:pPr>
            <w:r>
              <w:rPr>
                <w:rFonts w:ascii="Times New Roman" w:hAnsi="Times New Roman" w:eastAsia="仿宋_GB2312" w:cs="Times New Roman"/>
                <w:bCs/>
                <w:color w:val="000000"/>
                <w:kern w:val="0"/>
                <w:sz w:val="24"/>
                <w:szCs w:val="24"/>
              </w:rPr>
              <w:t>24</w:t>
            </w:r>
          </w:p>
        </w:tc>
        <w:tc>
          <w:tcPr>
            <w:tcW w:w="4148" w:type="dxa"/>
            <w:shd w:val="clear" w:color="auto" w:fill="auto"/>
            <w:vAlign w:val="center"/>
          </w:tcPr>
          <w:p>
            <w:pPr>
              <w:widowControl/>
              <w:snapToGrid w:val="0"/>
              <w:jc w:val="center"/>
              <w:rPr>
                <w:rFonts w:ascii="Times New Roman" w:hAnsi="Times New Roman" w:eastAsia="仿宋_GB2312" w:cs="Times New Roman"/>
                <w:bCs/>
                <w:color w:val="000000"/>
                <w:kern w:val="0"/>
                <w:sz w:val="24"/>
                <w:szCs w:val="24"/>
              </w:rPr>
            </w:pPr>
            <w:r>
              <w:rPr>
                <w:rFonts w:ascii="Times New Roman" w:hAnsi="Times New Roman" w:eastAsia="仿宋_GB2312" w:cs="Times New Roman"/>
                <w:bCs/>
                <w:color w:val="000000"/>
                <w:kern w:val="0"/>
                <w:sz w:val="24"/>
                <w:szCs w:val="24"/>
              </w:rPr>
              <w:t>布罗利尤单抗注射液</w:t>
            </w:r>
          </w:p>
        </w:tc>
        <w:tc>
          <w:tcPr>
            <w:tcW w:w="4682" w:type="dxa"/>
            <w:shd w:val="clear" w:color="auto" w:fill="auto"/>
            <w:vAlign w:val="center"/>
          </w:tcPr>
          <w:p>
            <w:pPr>
              <w:widowControl/>
              <w:snapToGrid w:val="0"/>
              <w:jc w:val="center"/>
              <w:rPr>
                <w:rFonts w:ascii="Times New Roman" w:hAnsi="Times New Roman" w:eastAsia="仿宋_GB2312" w:cs="Times New Roman"/>
                <w:bCs/>
                <w:color w:val="000000"/>
                <w:kern w:val="0"/>
                <w:sz w:val="24"/>
                <w:szCs w:val="24"/>
              </w:rPr>
            </w:pPr>
            <w:r>
              <w:rPr>
                <w:rFonts w:ascii="Times New Roman" w:hAnsi="Times New Roman" w:eastAsia="仿宋_GB2312" w:cs="Times New Roman"/>
                <w:bCs/>
                <w:color w:val="000000"/>
                <w:kern w:val="0"/>
                <w:sz w:val="24"/>
                <w:szCs w:val="24"/>
              </w:rPr>
              <w:t>中度至重度斑块状银屑病</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5" w:hRule="atLeast"/>
          <w:jc w:val="center"/>
        </w:trPr>
        <w:tc>
          <w:tcPr>
            <w:tcW w:w="809" w:type="dxa"/>
            <w:shd w:val="clear" w:color="auto" w:fill="auto"/>
            <w:vAlign w:val="center"/>
          </w:tcPr>
          <w:p>
            <w:pPr>
              <w:widowControl/>
              <w:adjustRightInd w:val="0"/>
              <w:snapToGrid w:val="0"/>
              <w:jc w:val="center"/>
              <w:rPr>
                <w:rFonts w:ascii="Times New Roman" w:hAnsi="Times New Roman" w:eastAsia="仿宋_GB2312" w:cs="Times New Roman"/>
                <w:bCs/>
                <w:color w:val="000000"/>
                <w:kern w:val="0"/>
                <w:sz w:val="24"/>
                <w:szCs w:val="24"/>
              </w:rPr>
            </w:pPr>
            <w:r>
              <w:rPr>
                <w:rFonts w:ascii="Times New Roman" w:hAnsi="Times New Roman" w:eastAsia="仿宋_GB2312" w:cs="Times New Roman"/>
                <w:bCs/>
                <w:color w:val="000000"/>
                <w:kern w:val="0"/>
                <w:sz w:val="24"/>
                <w:szCs w:val="24"/>
              </w:rPr>
              <w:t>25</w:t>
            </w:r>
          </w:p>
        </w:tc>
        <w:tc>
          <w:tcPr>
            <w:tcW w:w="4148" w:type="dxa"/>
            <w:shd w:val="clear" w:color="auto" w:fill="auto"/>
            <w:vAlign w:val="center"/>
          </w:tcPr>
          <w:p>
            <w:pPr>
              <w:widowControl/>
              <w:snapToGrid w:val="0"/>
              <w:jc w:val="center"/>
              <w:rPr>
                <w:rFonts w:ascii="Times New Roman" w:hAnsi="Times New Roman" w:eastAsia="仿宋_GB2312" w:cs="Times New Roman"/>
                <w:bCs/>
                <w:color w:val="000000"/>
                <w:kern w:val="0"/>
                <w:sz w:val="24"/>
                <w:szCs w:val="24"/>
              </w:rPr>
            </w:pPr>
            <w:r>
              <w:rPr>
                <w:rFonts w:ascii="Times New Roman" w:hAnsi="Times New Roman" w:eastAsia="仿宋_GB2312" w:cs="Times New Roman"/>
                <w:bCs/>
                <w:color w:val="000000"/>
                <w:kern w:val="0"/>
                <w:sz w:val="24"/>
                <w:szCs w:val="24"/>
              </w:rPr>
              <w:t>氘丁苯那嗪片</w:t>
            </w:r>
          </w:p>
        </w:tc>
        <w:tc>
          <w:tcPr>
            <w:tcW w:w="4682" w:type="dxa"/>
            <w:shd w:val="clear" w:color="auto" w:fill="auto"/>
            <w:vAlign w:val="center"/>
          </w:tcPr>
          <w:p>
            <w:pPr>
              <w:widowControl/>
              <w:snapToGrid w:val="0"/>
              <w:jc w:val="center"/>
              <w:rPr>
                <w:rFonts w:ascii="Times New Roman" w:hAnsi="Times New Roman" w:eastAsia="仿宋_GB2312" w:cs="Times New Roman"/>
                <w:bCs/>
                <w:color w:val="000000"/>
                <w:kern w:val="0"/>
                <w:sz w:val="24"/>
                <w:szCs w:val="24"/>
              </w:rPr>
            </w:pPr>
            <w:r>
              <w:rPr>
                <w:rFonts w:ascii="Times New Roman" w:hAnsi="Times New Roman" w:eastAsia="仿宋_GB2312" w:cs="Times New Roman"/>
                <w:bCs/>
                <w:color w:val="000000"/>
                <w:kern w:val="0"/>
                <w:sz w:val="24"/>
                <w:szCs w:val="24"/>
              </w:rPr>
              <w:t>与亨廷顿病有关的舞蹈病；成人迟发性运动障碍</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5" w:hRule="atLeast"/>
          <w:jc w:val="center"/>
        </w:trPr>
        <w:tc>
          <w:tcPr>
            <w:tcW w:w="809" w:type="dxa"/>
            <w:shd w:val="clear" w:color="auto" w:fill="auto"/>
            <w:vAlign w:val="center"/>
          </w:tcPr>
          <w:p>
            <w:pPr>
              <w:widowControl/>
              <w:adjustRightInd w:val="0"/>
              <w:snapToGrid w:val="0"/>
              <w:jc w:val="center"/>
              <w:rPr>
                <w:rFonts w:ascii="Times New Roman" w:hAnsi="Times New Roman" w:eastAsia="仿宋_GB2312" w:cs="Times New Roman"/>
                <w:bCs/>
                <w:color w:val="000000"/>
                <w:kern w:val="0"/>
                <w:sz w:val="24"/>
                <w:szCs w:val="24"/>
              </w:rPr>
            </w:pPr>
            <w:r>
              <w:rPr>
                <w:rFonts w:ascii="Times New Roman" w:hAnsi="Times New Roman" w:eastAsia="仿宋_GB2312" w:cs="Times New Roman"/>
                <w:bCs/>
                <w:color w:val="000000"/>
                <w:kern w:val="0"/>
                <w:sz w:val="24"/>
                <w:szCs w:val="24"/>
              </w:rPr>
              <w:t>26</w:t>
            </w:r>
          </w:p>
        </w:tc>
        <w:tc>
          <w:tcPr>
            <w:tcW w:w="4148" w:type="dxa"/>
            <w:shd w:val="clear" w:color="auto" w:fill="auto"/>
            <w:vAlign w:val="center"/>
          </w:tcPr>
          <w:p>
            <w:pPr>
              <w:widowControl/>
              <w:snapToGrid w:val="0"/>
              <w:jc w:val="center"/>
              <w:rPr>
                <w:rFonts w:ascii="Times New Roman" w:hAnsi="Times New Roman" w:eastAsia="仿宋_GB2312" w:cs="Times New Roman"/>
                <w:bCs/>
                <w:color w:val="000000"/>
                <w:kern w:val="0"/>
                <w:sz w:val="24"/>
                <w:szCs w:val="24"/>
              </w:rPr>
            </w:pPr>
            <w:r>
              <w:rPr>
                <w:rFonts w:ascii="Times New Roman" w:hAnsi="Times New Roman" w:eastAsia="仿宋_GB2312" w:cs="Times New Roman"/>
                <w:bCs/>
                <w:color w:val="000000"/>
                <w:kern w:val="0"/>
                <w:sz w:val="24"/>
                <w:szCs w:val="24"/>
              </w:rPr>
              <w:t>度普利尤单抗注射液</w:t>
            </w:r>
          </w:p>
        </w:tc>
        <w:tc>
          <w:tcPr>
            <w:tcW w:w="4682" w:type="dxa"/>
            <w:shd w:val="clear" w:color="auto" w:fill="auto"/>
            <w:vAlign w:val="center"/>
          </w:tcPr>
          <w:p>
            <w:pPr>
              <w:widowControl/>
              <w:snapToGrid w:val="0"/>
              <w:jc w:val="center"/>
              <w:rPr>
                <w:rFonts w:ascii="Times New Roman" w:hAnsi="Times New Roman" w:eastAsia="仿宋_GB2312" w:cs="Times New Roman"/>
                <w:bCs/>
                <w:color w:val="000000"/>
                <w:kern w:val="0"/>
                <w:sz w:val="24"/>
                <w:szCs w:val="24"/>
              </w:rPr>
            </w:pPr>
            <w:r>
              <w:rPr>
                <w:rFonts w:ascii="Times New Roman" w:hAnsi="Times New Roman" w:eastAsia="仿宋_GB2312" w:cs="Times New Roman"/>
                <w:bCs/>
                <w:color w:val="000000"/>
                <w:kern w:val="0"/>
                <w:sz w:val="24"/>
                <w:szCs w:val="24"/>
              </w:rPr>
              <w:t>中重度特应性皮炎</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5" w:hRule="atLeast"/>
          <w:jc w:val="center"/>
        </w:trPr>
        <w:tc>
          <w:tcPr>
            <w:tcW w:w="809" w:type="dxa"/>
            <w:shd w:val="clear" w:color="auto" w:fill="auto"/>
            <w:vAlign w:val="center"/>
          </w:tcPr>
          <w:p>
            <w:pPr>
              <w:widowControl/>
              <w:adjustRightInd w:val="0"/>
              <w:snapToGrid w:val="0"/>
              <w:jc w:val="center"/>
              <w:rPr>
                <w:rFonts w:ascii="Times New Roman" w:hAnsi="Times New Roman" w:eastAsia="仿宋_GB2312" w:cs="Times New Roman"/>
                <w:bCs/>
                <w:color w:val="000000"/>
                <w:kern w:val="0"/>
                <w:sz w:val="24"/>
                <w:szCs w:val="24"/>
              </w:rPr>
            </w:pPr>
            <w:r>
              <w:rPr>
                <w:rFonts w:ascii="Times New Roman" w:hAnsi="Times New Roman" w:eastAsia="仿宋_GB2312" w:cs="Times New Roman"/>
                <w:bCs/>
                <w:color w:val="000000"/>
                <w:kern w:val="0"/>
                <w:sz w:val="24"/>
                <w:szCs w:val="24"/>
              </w:rPr>
              <w:t>27</w:t>
            </w:r>
          </w:p>
        </w:tc>
        <w:tc>
          <w:tcPr>
            <w:tcW w:w="4148" w:type="dxa"/>
            <w:shd w:val="clear" w:color="auto" w:fill="auto"/>
            <w:vAlign w:val="center"/>
          </w:tcPr>
          <w:p>
            <w:pPr>
              <w:widowControl/>
              <w:snapToGrid w:val="0"/>
              <w:jc w:val="center"/>
              <w:rPr>
                <w:rFonts w:ascii="Times New Roman" w:hAnsi="Times New Roman" w:eastAsia="仿宋_GB2312" w:cs="Times New Roman"/>
                <w:bCs/>
                <w:color w:val="000000"/>
                <w:kern w:val="0"/>
                <w:sz w:val="24"/>
                <w:szCs w:val="24"/>
              </w:rPr>
            </w:pPr>
            <w:r>
              <w:rPr>
                <w:rFonts w:ascii="Times New Roman" w:hAnsi="Times New Roman" w:eastAsia="仿宋_GB2312" w:cs="Times New Roman"/>
                <w:bCs/>
                <w:color w:val="000000"/>
                <w:kern w:val="0"/>
                <w:sz w:val="24"/>
                <w:szCs w:val="24"/>
              </w:rPr>
              <w:t>多拉米替片</w:t>
            </w:r>
          </w:p>
        </w:tc>
        <w:tc>
          <w:tcPr>
            <w:tcW w:w="4682" w:type="dxa"/>
            <w:shd w:val="clear" w:color="auto" w:fill="auto"/>
            <w:vAlign w:val="center"/>
          </w:tcPr>
          <w:p>
            <w:pPr>
              <w:widowControl/>
              <w:snapToGrid w:val="0"/>
              <w:jc w:val="center"/>
              <w:rPr>
                <w:rFonts w:ascii="Times New Roman" w:hAnsi="Times New Roman" w:eastAsia="仿宋_GB2312" w:cs="Times New Roman"/>
                <w:bCs/>
                <w:color w:val="000000"/>
                <w:kern w:val="0"/>
                <w:sz w:val="24"/>
                <w:szCs w:val="24"/>
              </w:rPr>
            </w:pPr>
            <w:r>
              <w:rPr>
                <w:rFonts w:ascii="Times New Roman" w:hAnsi="Times New Roman" w:eastAsia="仿宋_GB2312" w:cs="Times New Roman"/>
                <w:bCs/>
                <w:color w:val="000000"/>
                <w:kern w:val="0"/>
                <w:sz w:val="24"/>
                <w:szCs w:val="24"/>
              </w:rPr>
              <w:t>用于无NNRTI类药物、拉米夫定或替诺福韦病毒耐药的成年人免疫缺陷病毒（HIV-1）感染患者</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5" w:hRule="atLeast"/>
          <w:jc w:val="center"/>
        </w:trPr>
        <w:tc>
          <w:tcPr>
            <w:tcW w:w="809" w:type="dxa"/>
            <w:shd w:val="clear" w:color="auto" w:fill="auto"/>
            <w:vAlign w:val="center"/>
          </w:tcPr>
          <w:p>
            <w:pPr>
              <w:widowControl/>
              <w:adjustRightInd w:val="0"/>
              <w:snapToGrid w:val="0"/>
              <w:jc w:val="center"/>
              <w:rPr>
                <w:rFonts w:ascii="Times New Roman" w:hAnsi="Times New Roman" w:eastAsia="仿宋_GB2312" w:cs="Times New Roman"/>
                <w:bCs/>
                <w:color w:val="000000"/>
                <w:kern w:val="0"/>
                <w:sz w:val="24"/>
                <w:szCs w:val="24"/>
              </w:rPr>
            </w:pPr>
            <w:r>
              <w:rPr>
                <w:rFonts w:ascii="Times New Roman" w:hAnsi="Times New Roman" w:eastAsia="仿宋_GB2312" w:cs="Times New Roman"/>
                <w:bCs/>
                <w:color w:val="000000"/>
                <w:kern w:val="0"/>
                <w:sz w:val="24"/>
                <w:szCs w:val="24"/>
              </w:rPr>
              <w:t>28</w:t>
            </w:r>
          </w:p>
        </w:tc>
        <w:tc>
          <w:tcPr>
            <w:tcW w:w="4148" w:type="dxa"/>
            <w:shd w:val="clear" w:color="auto" w:fill="auto"/>
            <w:vAlign w:val="center"/>
          </w:tcPr>
          <w:p>
            <w:pPr>
              <w:widowControl/>
              <w:snapToGrid w:val="0"/>
              <w:jc w:val="center"/>
              <w:rPr>
                <w:rFonts w:ascii="Times New Roman" w:hAnsi="Times New Roman" w:eastAsia="仿宋_GB2312" w:cs="Times New Roman"/>
                <w:bCs/>
                <w:color w:val="000000"/>
                <w:kern w:val="0"/>
                <w:sz w:val="24"/>
                <w:szCs w:val="24"/>
              </w:rPr>
            </w:pPr>
            <w:r>
              <w:rPr>
                <w:rFonts w:ascii="Times New Roman" w:hAnsi="Times New Roman" w:eastAsia="仿宋_GB2312" w:cs="Times New Roman"/>
                <w:bCs/>
                <w:color w:val="000000"/>
                <w:kern w:val="0"/>
                <w:sz w:val="24"/>
                <w:szCs w:val="24"/>
              </w:rPr>
              <w:t>多拉韦林片</w:t>
            </w:r>
          </w:p>
        </w:tc>
        <w:tc>
          <w:tcPr>
            <w:tcW w:w="4682" w:type="dxa"/>
            <w:shd w:val="clear" w:color="auto" w:fill="auto"/>
            <w:vAlign w:val="center"/>
          </w:tcPr>
          <w:p>
            <w:pPr>
              <w:widowControl/>
              <w:snapToGrid w:val="0"/>
              <w:jc w:val="center"/>
              <w:rPr>
                <w:rFonts w:ascii="Times New Roman" w:hAnsi="Times New Roman" w:eastAsia="仿宋_GB2312" w:cs="Times New Roman"/>
                <w:bCs/>
                <w:color w:val="000000"/>
                <w:kern w:val="0"/>
                <w:sz w:val="24"/>
                <w:szCs w:val="24"/>
              </w:rPr>
            </w:pPr>
            <w:r>
              <w:rPr>
                <w:rFonts w:ascii="Times New Roman" w:hAnsi="Times New Roman" w:eastAsia="仿宋_GB2312" w:cs="Times New Roman"/>
                <w:bCs/>
                <w:color w:val="000000"/>
                <w:kern w:val="0"/>
                <w:sz w:val="24"/>
                <w:szCs w:val="24"/>
              </w:rPr>
              <w:t>与其他抗反转录病毒药物联合用于无NNRTI类耐药的HIV-1感染成年患者</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5" w:hRule="atLeast"/>
          <w:jc w:val="center"/>
        </w:trPr>
        <w:tc>
          <w:tcPr>
            <w:tcW w:w="809" w:type="dxa"/>
            <w:shd w:val="clear" w:color="auto" w:fill="auto"/>
            <w:vAlign w:val="center"/>
          </w:tcPr>
          <w:p>
            <w:pPr>
              <w:widowControl/>
              <w:adjustRightInd w:val="0"/>
              <w:snapToGrid w:val="0"/>
              <w:jc w:val="center"/>
              <w:rPr>
                <w:rFonts w:ascii="Times New Roman" w:hAnsi="Times New Roman" w:eastAsia="仿宋_GB2312" w:cs="Times New Roman"/>
                <w:bCs/>
                <w:color w:val="000000"/>
                <w:kern w:val="0"/>
                <w:sz w:val="24"/>
                <w:szCs w:val="24"/>
              </w:rPr>
            </w:pPr>
            <w:r>
              <w:rPr>
                <w:rFonts w:ascii="Times New Roman" w:hAnsi="Times New Roman" w:eastAsia="仿宋_GB2312" w:cs="Times New Roman"/>
                <w:bCs/>
                <w:color w:val="000000"/>
                <w:kern w:val="0"/>
                <w:sz w:val="24"/>
                <w:szCs w:val="24"/>
              </w:rPr>
              <w:t>29</w:t>
            </w:r>
          </w:p>
        </w:tc>
        <w:tc>
          <w:tcPr>
            <w:tcW w:w="4148" w:type="dxa"/>
            <w:shd w:val="clear" w:color="auto" w:fill="auto"/>
            <w:vAlign w:val="center"/>
          </w:tcPr>
          <w:p>
            <w:pPr>
              <w:widowControl/>
              <w:snapToGrid w:val="0"/>
              <w:jc w:val="center"/>
              <w:rPr>
                <w:rFonts w:ascii="Times New Roman" w:hAnsi="Times New Roman" w:eastAsia="仿宋_GB2312" w:cs="Times New Roman"/>
                <w:bCs/>
                <w:color w:val="000000"/>
                <w:kern w:val="0"/>
                <w:sz w:val="24"/>
                <w:szCs w:val="24"/>
              </w:rPr>
            </w:pPr>
            <w:r>
              <w:rPr>
                <w:rFonts w:ascii="Times New Roman" w:hAnsi="Times New Roman" w:eastAsia="仿宋_GB2312" w:cs="Times New Roman"/>
                <w:bCs/>
                <w:color w:val="000000"/>
                <w:kern w:val="0"/>
                <w:sz w:val="24"/>
                <w:szCs w:val="24"/>
              </w:rPr>
              <w:t>枸橼酸西地那非片</w:t>
            </w:r>
          </w:p>
        </w:tc>
        <w:tc>
          <w:tcPr>
            <w:tcW w:w="4682" w:type="dxa"/>
            <w:shd w:val="clear" w:color="auto" w:fill="auto"/>
            <w:vAlign w:val="center"/>
          </w:tcPr>
          <w:p>
            <w:pPr>
              <w:widowControl/>
              <w:snapToGrid w:val="0"/>
              <w:jc w:val="center"/>
              <w:rPr>
                <w:rFonts w:ascii="Times New Roman" w:hAnsi="Times New Roman" w:eastAsia="仿宋_GB2312" w:cs="Times New Roman"/>
                <w:bCs/>
                <w:color w:val="000000"/>
                <w:kern w:val="0"/>
                <w:sz w:val="24"/>
                <w:szCs w:val="24"/>
              </w:rPr>
            </w:pPr>
            <w:r>
              <w:rPr>
                <w:rFonts w:ascii="Times New Roman" w:hAnsi="Times New Roman" w:eastAsia="仿宋_GB2312" w:cs="Times New Roman"/>
                <w:bCs/>
                <w:color w:val="000000"/>
                <w:kern w:val="0"/>
                <w:sz w:val="24"/>
                <w:szCs w:val="24"/>
              </w:rPr>
              <w:t>成人肺动脉高压</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5" w:hRule="atLeast"/>
          <w:jc w:val="center"/>
        </w:trPr>
        <w:tc>
          <w:tcPr>
            <w:tcW w:w="809" w:type="dxa"/>
            <w:shd w:val="clear" w:color="auto" w:fill="auto"/>
            <w:vAlign w:val="center"/>
          </w:tcPr>
          <w:p>
            <w:pPr>
              <w:widowControl/>
              <w:adjustRightInd w:val="0"/>
              <w:snapToGrid w:val="0"/>
              <w:jc w:val="center"/>
              <w:rPr>
                <w:rFonts w:ascii="Times New Roman" w:hAnsi="Times New Roman" w:eastAsia="仿宋_GB2312" w:cs="Times New Roman"/>
                <w:bCs/>
                <w:color w:val="000000"/>
                <w:kern w:val="0"/>
                <w:sz w:val="24"/>
                <w:szCs w:val="24"/>
              </w:rPr>
            </w:pPr>
            <w:r>
              <w:rPr>
                <w:rFonts w:ascii="Times New Roman" w:hAnsi="Times New Roman" w:eastAsia="仿宋_GB2312" w:cs="Times New Roman"/>
                <w:bCs/>
                <w:color w:val="000000"/>
                <w:kern w:val="0"/>
                <w:sz w:val="24"/>
                <w:szCs w:val="24"/>
              </w:rPr>
              <w:t>30</w:t>
            </w:r>
          </w:p>
        </w:tc>
        <w:tc>
          <w:tcPr>
            <w:tcW w:w="4148" w:type="dxa"/>
            <w:shd w:val="clear" w:color="auto" w:fill="auto"/>
            <w:vAlign w:val="center"/>
          </w:tcPr>
          <w:p>
            <w:pPr>
              <w:widowControl/>
              <w:snapToGrid w:val="0"/>
              <w:jc w:val="center"/>
              <w:rPr>
                <w:rFonts w:ascii="Times New Roman" w:hAnsi="Times New Roman" w:eastAsia="仿宋_GB2312" w:cs="Times New Roman"/>
                <w:bCs/>
                <w:color w:val="000000"/>
                <w:kern w:val="0"/>
                <w:sz w:val="24"/>
                <w:szCs w:val="24"/>
              </w:rPr>
            </w:pPr>
            <w:r>
              <w:rPr>
                <w:rFonts w:ascii="Times New Roman" w:hAnsi="Times New Roman" w:eastAsia="仿宋_GB2312" w:cs="Times New Roman"/>
                <w:bCs/>
                <w:color w:val="000000"/>
                <w:kern w:val="0"/>
                <w:sz w:val="24"/>
                <w:szCs w:val="24"/>
              </w:rPr>
              <w:t>克立硼罗软膏</w:t>
            </w:r>
          </w:p>
        </w:tc>
        <w:tc>
          <w:tcPr>
            <w:tcW w:w="4682" w:type="dxa"/>
            <w:shd w:val="clear" w:color="auto" w:fill="auto"/>
            <w:vAlign w:val="center"/>
          </w:tcPr>
          <w:p>
            <w:pPr>
              <w:widowControl/>
              <w:snapToGrid w:val="0"/>
              <w:jc w:val="center"/>
              <w:rPr>
                <w:rFonts w:ascii="Times New Roman" w:hAnsi="Times New Roman" w:eastAsia="仿宋_GB2312" w:cs="Times New Roman"/>
                <w:bCs/>
                <w:color w:val="000000"/>
                <w:kern w:val="0"/>
                <w:sz w:val="24"/>
                <w:szCs w:val="24"/>
              </w:rPr>
            </w:pPr>
            <w:r>
              <w:rPr>
                <w:rFonts w:ascii="Times New Roman" w:hAnsi="Times New Roman" w:eastAsia="仿宋_GB2312" w:cs="Times New Roman"/>
                <w:bCs/>
                <w:color w:val="000000"/>
                <w:kern w:val="0"/>
                <w:sz w:val="24"/>
                <w:szCs w:val="24"/>
              </w:rPr>
              <w:t>2岁及以上轻中度特应性皮炎患者的局部外用治疗</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5" w:hRule="atLeast"/>
          <w:jc w:val="center"/>
        </w:trPr>
        <w:tc>
          <w:tcPr>
            <w:tcW w:w="809" w:type="dxa"/>
            <w:shd w:val="clear" w:color="auto" w:fill="auto"/>
            <w:vAlign w:val="center"/>
          </w:tcPr>
          <w:p>
            <w:pPr>
              <w:widowControl/>
              <w:adjustRightInd w:val="0"/>
              <w:snapToGrid w:val="0"/>
              <w:jc w:val="center"/>
              <w:rPr>
                <w:rFonts w:ascii="Times New Roman" w:hAnsi="Times New Roman" w:eastAsia="仿宋_GB2312" w:cs="Times New Roman"/>
                <w:bCs/>
                <w:color w:val="000000"/>
                <w:kern w:val="0"/>
                <w:sz w:val="24"/>
                <w:szCs w:val="24"/>
              </w:rPr>
            </w:pPr>
            <w:r>
              <w:rPr>
                <w:rFonts w:ascii="Times New Roman" w:hAnsi="Times New Roman" w:eastAsia="仿宋_GB2312" w:cs="Times New Roman"/>
                <w:bCs/>
                <w:color w:val="000000"/>
                <w:kern w:val="0"/>
                <w:sz w:val="24"/>
                <w:szCs w:val="24"/>
              </w:rPr>
              <w:t>31</w:t>
            </w:r>
          </w:p>
        </w:tc>
        <w:tc>
          <w:tcPr>
            <w:tcW w:w="4148" w:type="dxa"/>
            <w:shd w:val="clear" w:color="auto" w:fill="auto"/>
            <w:vAlign w:val="center"/>
          </w:tcPr>
          <w:p>
            <w:pPr>
              <w:widowControl/>
              <w:snapToGrid w:val="0"/>
              <w:jc w:val="center"/>
              <w:rPr>
                <w:rFonts w:ascii="Times New Roman" w:hAnsi="Times New Roman" w:eastAsia="仿宋_GB2312" w:cs="Times New Roman"/>
                <w:bCs/>
                <w:color w:val="000000"/>
                <w:kern w:val="0"/>
                <w:sz w:val="24"/>
                <w:szCs w:val="24"/>
              </w:rPr>
            </w:pPr>
            <w:r>
              <w:rPr>
                <w:rFonts w:ascii="Times New Roman" w:hAnsi="Times New Roman" w:eastAsia="仿宋_GB2312" w:cs="Times New Roman"/>
                <w:bCs/>
                <w:color w:val="000000"/>
                <w:kern w:val="0"/>
                <w:sz w:val="24"/>
                <w:szCs w:val="24"/>
              </w:rPr>
              <w:t>拉考沙胺口服溶液</w:t>
            </w:r>
          </w:p>
        </w:tc>
        <w:tc>
          <w:tcPr>
            <w:tcW w:w="4682" w:type="dxa"/>
            <w:shd w:val="clear" w:color="auto" w:fill="auto"/>
            <w:vAlign w:val="center"/>
          </w:tcPr>
          <w:p>
            <w:pPr>
              <w:widowControl/>
              <w:snapToGrid w:val="0"/>
              <w:jc w:val="center"/>
              <w:rPr>
                <w:rFonts w:ascii="Times New Roman" w:hAnsi="Times New Roman" w:eastAsia="仿宋_GB2312" w:cs="Times New Roman"/>
                <w:bCs/>
                <w:color w:val="000000"/>
                <w:kern w:val="0"/>
                <w:sz w:val="24"/>
                <w:szCs w:val="24"/>
              </w:rPr>
            </w:pPr>
            <w:r>
              <w:rPr>
                <w:rFonts w:ascii="Times New Roman" w:hAnsi="Times New Roman" w:eastAsia="仿宋_GB2312" w:cs="Times New Roman"/>
                <w:bCs/>
                <w:color w:val="000000"/>
                <w:kern w:val="0"/>
                <w:sz w:val="24"/>
                <w:szCs w:val="24"/>
              </w:rPr>
              <w:t>用于4岁及以上癫痫部分性发作患者</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5" w:hRule="atLeast"/>
          <w:jc w:val="center"/>
        </w:trPr>
        <w:tc>
          <w:tcPr>
            <w:tcW w:w="809" w:type="dxa"/>
            <w:shd w:val="clear" w:color="auto" w:fill="auto"/>
            <w:vAlign w:val="center"/>
          </w:tcPr>
          <w:p>
            <w:pPr>
              <w:widowControl/>
              <w:adjustRightInd w:val="0"/>
              <w:snapToGrid w:val="0"/>
              <w:jc w:val="center"/>
              <w:rPr>
                <w:rFonts w:ascii="Times New Roman" w:hAnsi="Times New Roman" w:eastAsia="仿宋_GB2312" w:cs="Times New Roman"/>
                <w:bCs/>
                <w:color w:val="000000"/>
                <w:kern w:val="0"/>
                <w:sz w:val="24"/>
                <w:szCs w:val="24"/>
              </w:rPr>
            </w:pPr>
            <w:r>
              <w:rPr>
                <w:rFonts w:ascii="Times New Roman" w:hAnsi="Times New Roman" w:eastAsia="仿宋_GB2312" w:cs="Times New Roman"/>
                <w:bCs/>
                <w:color w:val="000000"/>
                <w:kern w:val="0"/>
                <w:sz w:val="24"/>
                <w:szCs w:val="24"/>
              </w:rPr>
              <w:t>32</w:t>
            </w:r>
          </w:p>
        </w:tc>
        <w:tc>
          <w:tcPr>
            <w:tcW w:w="4148" w:type="dxa"/>
            <w:shd w:val="clear" w:color="auto" w:fill="auto"/>
            <w:vAlign w:val="center"/>
          </w:tcPr>
          <w:p>
            <w:pPr>
              <w:widowControl/>
              <w:snapToGrid w:val="0"/>
              <w:jc w:val="center"/>
              <w:rPr>
                <w:rFonts w:ascii="Times New Roman" w:hAnsi="Times New Roman" w:eastAsia="仿宋_GB2312" w:cs="Times New Roman"/>
                <w:bCs/>
                <w:color w:val="000000"/>
                <w:kern w:val="0"/>
                <w:sz w:val="24"/>
                <w:szCs w:val="24"/>
              </w:rPr>
            </w:pPr>
            <w:r>
              <w:rPr>
                <w:rFonts w:ascii="Times New Roman" w:hAnsi="Times New Roman" w:eastAsia="仿宋_GB2312" w:cs="Times New Roman"/>
                <w:bCs/>
                <w:color w:val="000000"/>
                <w:kern w:val="0"/>
                <w:sz w:val="24"/>
                <w:szCs w:val="24"/>
              </w:rPr>
              <w:t>拉那利尤单抗注射液</w:t>
            </w:r>
          </w:p>
        </w:tc>
        <w:tc>
          <w:tcPr>
            <w:tcW w:w="4682" w:type="dxa"/>
            <w:shd w:val="clear" w:color="auto" w:fill="auto"/>
            <w:vAlign w:val="center"/>
          </w:tcPr>
          <w:p>
            <w:pPr>
              <w:widowControl/>
              <w:snapToGrid w:val="0"/>
              <w:jc w:val="center"/>
              <w:rPr>
                <w:rFonts w:ascii="Times New Roman" w:hAnsi="Times New Roman" w:eastAsia="仿宋_GB2312" w:cs="Times New Roman"/>
                <w:bCs/>
                <w:color w:val="000000"/>
                <w:kern w:val="0"/>
                <w:sz w:val="24"/>
                <w:szCs w:val="24"/>
              </w:rPr>
            </w:pPr>
            <w:r>
              <w:rPr>
                <w:rFonts w:ascii="Times New Roman" w:hAnsi="Times New Roman" w:eastAsia="仿宋_GB2312" w:cs="Times New Roman"/>
                <w:bCs/>
                <w:color w:val="000000"/>
                <w:kern w:val="0"/>
                <w:sz w:val="24"/>
                <w:szCs w:val="24"/>
              </w:rPr>
              <w:t>预防遗传性血管性水肿的发作</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5" w:hRule="atLeast"/>
          <w:jc w:val="center"/>
        </w:trPr>
        <w:tc>
          <w:tcPr>
            <w:tcW w:w="809" w:type="dxa"/>
            <w:shd w:val="clear" w:color="auto" w:fill="auto"/>
            <w:vAlign w:val="center"/>
          </w:tcPr>
          <w:p>
            <w:pPr>
              <w:widowControl/>
              <w:adjustRightInd w:val="0"/>
              <w:snapToGrid w:val="0"/>
              <w:jc w:val="center"/>
              <w:rPr>
                <w:rFonts w:ascii="Times New Roman" w:hAnsi="Times New Roman" w:eastAsia="仿宋_GB2312" w:cs="Times New Roman"/>
                <w:bCs/>
                <w:color w:val="000000"/>
                <w:kern w:val="0"/>
                <w:sz w:val="24"/>
                <w:szCs w:val="24"/>
              </w:rPr>
            </w:pPr>
            <w:r>
              <w:rPr>
                <w:rFonts w:ascii="Times New Roman" w:hAnsi="Times New Roman" w:eastAsia="仿宋_GB2312" w:cs="Times New Roman"/>
                <w:bCs/>
                <w:color w:val="000000"/>
                <w:kern w:val="0"/>
                <w:sz w:val="24"/>
                <w:szCs w:val="24"/>
              </w:rPr>
              <w:t>33</w:t>
            </w:r>
          </w:p>
        </w:tc>
        <w:tc>
          <w:tcPr>
            <w:tcW w:w="4148" w:type="dxa"/>
            <w:shd w:val="clear" w:color="auto" w:fill="auto"/>
            <w:vAlign w:val="center"/>
          </w:tcPr>
          <w:p>
            <w:pPr>
              <w:widowControl/>
              <w:snapToGrid w:val="0"/>
              <w:jc w:val="center"/>
              <w:rPr>
                <w:rFonts w:ascii="Times New Roman" w:hAnsi="Times New Roman" w:eastAsia="仿宋_GB2312" w:cs="Times New Roman"/>
                <w:bCs/>
                <w:color w:val="000000"/>
                <w:kern w:val="0"/>
                <w:sz w:val="24"/>
                <w:szCs w:val="24"/>
              </w:rPr>
            </w:pPr>
            <w:r>
              <w:rPr>
                <w:rFonts w:ascii="Times New Roman" w:hAnsi="Times New Roman" w:eastAsia="仿宋_GB2312" w:cs="Times New Roman"/>
                <w:bCs/>
                <w:color w:val="000000"/>
                <w:kern w:val="0"/>
                <w:sz w:val="24"/>
                <w:szCs w:val="24"/>
              </w:rPr>
              <w:t>拉替拉韦钾咀嚼片</w:t>
            </w:r>
          </w:p>
        </w:tc>
        <w:tc>
          <w:tcPr>
            <w:tcW w:w="4682" w:type="dxa"/>
            <w:shd w:val="clear" w:color="auto" w:fill="auto"/>
            <w:vAlign w:val="center"/>
          </w:tcPr>
          <w:p>
            <w:pPr>
              <w:widowControl/>
              <w:snapToGrid w:val="0"/>
              <w:jc w:val="center"/>
              <w:rPr>
                <w:rFonts w:ascii="Times New Roman" w:hAnsi="Times New Roman" w:eastAsia="仿宋_GB2312" w:cs="Times New Roman"/>
                <w:bCs/>
                <w:color w:val="000000"/>
                <w:kern w:val="0"/>
                <w:sz w:val="24"/>
                <w:szCs w:val="24"/>
              </w:rPr>
            </w:pPr>
            <w:r>
              <w:rPr>
                <w:rFonts w:ascii="Times New Roman" w:hAnsi="Times New Roman" w:eastAsia="仿宋_GB2312" w:cs="Times New Roman"/>
                <w:bCs/>
                <w:color w:val="000000"/>
                <w:kern w:val="0"/>
                <w:sz w:val="24"/>
                <w:szCs w:val="24"/>
              </w:rPr>
              <w:t>与其它抗反转录病毒药物联合用于体重大于11公斤儿童的HIV-1感染</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5" w:hRule="atLeast"/>
          <w:jc w:val="center"/>
        </w:trPr>
        <w:tc>
          <w:tcPr>
            <w:tcW w:w="809" w:type="dxa"/>
            <w:shd w:val="clear" w:color="auto" w:fill="auto"/>
            <w:vAlign w:val="center"/>
          </w:tcPr>
          <w:p>
            <w:pPr>
              <w:widowControl/>
              <w:adjustRightInd w:val="0"/>
              <w:snapToGrid w:val="0"/>
              <w:jc w:val="center"/>
              <w:rPr>
                <w:rFonts w:ascii="Times New Roman" w:hAnsi="Times New Roman" w:eastAsia="仿宋_GB2312" w:cs="Times New Roman"/>
                <w:bCs/>
                <w:color w:val="000000"/>
                <w:kern w:val="0"/>
                <w:sz w:val="24"/>
                <w:szCs w:val="24"/>
              </w:rPr>
            </w:pPr>
            <w:r>
              <w:rPr>
                <w:rFonts w:ascii="Times New Roman" w:hAnsi="Times New Roman" w:eastAsia="仿宋_GB2312" w:cs="Times New Roman"/>
                <w:bCs/>
                <w:color w:val="000000"/>
                <w:kern w:val="0"/>
                <w:sz w:val="24"/>
                <w:szCs w:val="24"/>
              </w:rPr>
              <w:t>34</w:t>
            </w:r>
          </w:p>
        </w:tc>
        <w:tc>
          <w:tcPr>
            <w:tcW w:w="4148" w:type="dxa"/>
            <w:shd w:val="clear" w:color="auto" w:fill="auto"/>
            <w:vAlign w:val="center"/>
          </w:tcPr>
          <w:p>
            <w:pPr>
              <w:widowControl/>
              <w:snapToGrid w:val="0"/>
              <w:jc w:val="center"/>
              <w:rPr>
                <w:rFonts w:ascii="Times New Roman" w:hAnsi="Times New Roman" w:eastAsia="仿宋_GB2312" w:cs="Times New Roman"/>
                <w:bCs/>
                <w:color w:val="000000"/>
                <w:kern w:val="0"/>
                <w:sz w:val="24"/>
                <w:szCs w:val="24"/>
              </w:rPr>
            </w:pPr>
            <w:r>
              <w:rPr>
                <w:rFonts w:ascii="Times New Roman" w:hAnsi="Times New Roman" w:eastAsia="仿宋_GB2312" w:cs="Times New Roman"/>
                <w:bCs/>
                <w:color w:val="000000"/>
                <w:kern w:val="0"/>
                <w:sz w:val="24"/>
                <w:szCs w:val="24"/>
              </w:rPr>
              <w:t>利伐沙班片</w:t>
            </w:r>
          </w:p>
        </w:tc>
        <w:tc>
          <w:tcPr>
            <w:tcW w:w="4682" w:type="dxa"/>
            <w:shd w:val="clear" w:color="auto" w:fill="auto"/>
            <w:vAlign w:val="center"/>
          </w:tcPr>
          <w:p>
            <w:pPr>
              <w:widowControl/>
              <w:snapToGrid w:val="0"/>
              <w:jc w:val="center"/>
              <w:rPr>
                <w:rFonts w:ascii="Times New Roman" w:hAnsi="Times New Roman" w:eastAsia="仿宋_GB2312" w:cs="Times New Roman"/>
                <w:bCs/>
                <w:color w:val="000000"/>
                <w:kern w:val="0"/>
                <w:sz w:val="24"/>
                <w:szCs w:val="24"/>
              </w:rPr>
            </w:pPr>
            <w:r>
              <w:rPr>
                <w:rFonts w:ascii="Times New Roman" w:hAnsi="Times New Roman" w:eastAsia="仿宋_GB2312" w:cs="Times New Roman"/>
                <w:bCs/>
                <w:color w:val="000000"/>
                <w:kern w:val="0"/>
                <w:sz w:val="24"/>
                <w:szCs w:val="24"/>
              </w:rPr>
              <w:t>与阿司匹林联合用于降低主要心血管事件风险</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5" w:hRule="atLeast"/>
          <w:jc w:val="center"/>
        </w:trPr>
        <w:tc>
          <w:tcPr>
            <w:tcW w:w="809" w:type="dxa"/>
            <w:shd w:val="clear" w:color="auto" w:fill="auto"/>
            <w:vAlign w:val="center"/>
          </w:tcPr>
          <w:p>
            <w:pPr>
              <w:widowControl/>
              <w:adjustRightInd w:val="0"/>
              <w:snapToGrid w:val="0"/>
              <w:jc w:val="center"/>
              <w:rPr>
                <w:rFonts w:ascii="Times New Roman" w:hAnsi="Times New Roman" w:eastAsia="仿宋_GB2312" w:cs="Times New Roman"/>
                <w:bCs/>
                <w:color w:val="000000"/>
                <w:kern w:val="0"/>
                <w:sz w:val="24"/>
                <w:szCs w:val="24"/>
              </w:rPr>
            </w:pPr>
            <w:r>
              <w:rPr>
                <w:rFonts w:ascii="Times New Roman" w:hAnsi="Times New Roman" w:eastAsia="仿宋_GB2312" w:cs="Times New Roman"/>
                <w:bCs/>
                <w:color w:val="000000"/>
                <w:kern w:val="0"/>
                <w:sz w:val="24"/>
                <w:szCs w:val="24"/>
              </w:rPr>
              <w:t>35</w:t>
            </w:r>
          </w:p>
        </w:tc>
        <w:tc>
          <w:tcPr>
            <w:tcW w:w="4148" w:type="dxa"/>
            <w:shd w:val="clear" w:color="auto" w:fill="auto"/>
            <w:vAlign w:val="center"/>
          </w:tcPr>
          <w:p>
            <w:pPr>
              <w:widowControl/>
              <w:snapToGrid w:val="0"/>
              <w:jc w:val="center"/>
              <w:rPr>
                <w:rFonts w:ascii="Times New Roman" w:hAnsi="Times New Roman" w:eastAsia="仿宋_GB2312" w:cs="Times New Roman"/>
                <w:bCs/>
                <w:color w:val="000000"/>
                <w:kern w:val="0"/>
                <w:sz w:val="24"/>
                <w:szCs w:val="24"/>
              </w:rPr>
            </w:pPr>
            <w:r>
              <w:rPr>
                <w:rFonts w:ascii="Times New Roman" w:hAnsi="Times New Roman" w:eastAsia="仿宋_GB2312" w:cs="Times New Roman"/>
                <w:bCs/>
                <w:color w:val="000000"/>
                <w:kern w:val="0"/>
                <w:sz w:val="24"/>
                <w:szCs w:val="24"/>
              </w:rPr>
              <w:t>氯苯唑酸葡胺软胶囊</w:t>
            </w:r>
          </w:p>
        </w:tc>
        <w:tc>
          <w:tcPr>
            <w:tcW w:w="4682" w:type="dxa"/>
            <w:shd w:val="clear" w:color="auto" w:fill="auto"/>
            <w:vAlign w:val="center"/>
          </w:tcPr>
          <w:p>
            <w:pPr>
              <w:widowControl/>
              <w:snapToGrid w:val="0"/>
              <w:jc w:val="center"/>
              <w:rPr>
                <w:rFonts w:ascii="Times New Roman" w:hAnsi="Times New Roman" w:eastAsia="仿宋_GB2312" w:cs="Times New Roman"/>
                <w:bCs/>
                <w:color w:val="000000"/>
                <w:kern w:val="0"/>
                <w:sz w:val="24"/>
                <w:szCs w:val="24"/>
              </w:rPr>
            </w:pPr>
            <w:r>
              <w:rPr>
                <w:rFonts w:ascii="Times New Roman" w:hAnsi="Times New Roman" w:eastAsia="仿宋_GB2312" w:cs="Times New Roman"/>
                <w:bCs/>
                <w:color w:val="000000"/>
                <w:kern w:val="0"/>
                <w:sz w:val="24"/>
                <w:szCs w:val="24"/>
              </w:rPr>
              <w:t>转甲状腺素蛋白淀粉样变性多发性神经病I期症状</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5" w:hRule="atLeast"/>
          <w:jc w:val="center"/>
        </w:trPr>
        <w:tc>
          <w:tcPr>
            <w:tcW w:w="809" w:type="dxa"/>
            <w:shd w:val="clear" w:color="auto" w:fill="auto"/>
            <w:vAlign w:val="center"/>
          </w:tcPr>
          <w:p>
            <w:pPr>
              <w:widowControl/>
              <w:adjustRightInd w:val="0"/>
              <w:snapToGrid w:val="0"/>
              <w:jc w:val="center"/>
              <w:rPr>
                <w:rFonts w:ascii="Times New Roman" w:hAnsi="Times New Roman" w:eastAsia="仿宋_GB2312" w:cs="Times New Roman"/>
                <w:bCs/>
                <w:color w:val="000000"/>
                <w:kern w:val="0"/>
                <w:sz w:val="24"/>
                <w:szCs w:val="24"/>
              </w:rPr>
            </w:pPr>
            <w:r>
              <w:rPr>
                <w:rFonts w:ascii="Times New Roman" w:hAnsi="Times New Roman" w:eastAsia="仿宋_GB2312" w:cs="Times New Roman"/>
                <w:bCs/>
                <w:color w:val="000000"/>
                <w:kern w:val="0"/>
                <w:sz w:val="24"/>
                <w:szCs w:val="24"/>
              </w:rPr>
              <w:t>36</w:t>
            </w:r>
          </w:p>
        </w:tc>
        <w:tc>
          <w:tcPr>
            <w:tcW w:w="4148" w:type="dxa"/>
            <w:shd w:val="clear" w:color="auto" w:fill="auto"/>
            <w:vAlign w:val="center"/>
          </w:tcPr>
          <w:p>
            <w:pPr>
              <w:widowControl/>
              <w:snapToGrid w:val="0"/>
              <w:jc w:val="center"/>
              <w:rPr>
                <w:rFonts w:ascii="Times New Roman" w:hAnsi="Times New Roman" w:eastAsia="仿宋_GB2312" w:cs="Times New Roman"/>
                <w:bCs/>
                <w:color w:val="000000"/>
                <w:kern w:val="0"/>
                <w:sz w:val="24"/>
                <w:szCs w:val="24"/>
              </w:rPr>
            </w:pPr>
            <w:r>
              <w:rPr>
                <w:rFonts w:ascii="Times New Roman" w:hAnsi="Times New Roman" w:eastAsia="仿宋_GB2312" w:cs="Times New Roman"/>
                <w:bCs/>
                <w:color w:val="000000"/>
                <w:kern w:val="0"/>
                <w:sz w:val="24"/>
                <w:szCs w:val="24"/>
              </w:rPr>
              <w:t>氯苯唑酸软胶囊</w:t>
            </w:r>
          </w:p>
        </w:tc>
        <w:tc>
          <w:tcPr>
            <w:tcW w:w="4682" w:type="dxa"/>
            <w:shd w:val="clear" w:color="auto" w:fill="auto"/>
            <w:vAlign w:val="center"/>
          </w:tcPr>
          <w:p>
            <w:pPr>
              <w:widowControl/>
              <w:snapToGrid w:val="0"/>
              <w:jc w:val="center"/>
              <w:rPr>
                <w:rFonts w:ascii="Times New Roman" w:hAnsi="Times New Roman" w:eastAsia="仿宋_GB2312" w:cs="Times New Roman"/>
                <w:bCs/>
                <w:color w:val="000000"/>
                <w:kern w:val="0"/>
                <w:sz w:val="24"/>
                <w:szCs w:val="24"/>
              </w:rPr>
            </w:pPr>
            <w:r>
              <w:rPr>
                <w:rFonts w:ascii="Times New Roman" w:hAnsi="Times New Roman" w:eastAsia="仿宋_GB2312" w:cs="Times New Roman"/>
                <w:bCs/>
                <w:color w:val="000000"/>
                <w:kern w:val="0"/>
                <w:sz w:val="24"/>
                <w:szCs w:val="24"/>
              </w:rPr>
              <w:t>成人野生型或遗传型转甲状腺素蛋白淀粉样变性心肌病</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5" w:hRule="atLeast"/>
          <w:jc w:val="center"/>
        </w:trPr>
        <w:tc>
          <w:tcPr>
            <w:tcW w:w="809" w:type="dxa"/>
            <w:shd w:val="clear" w:color="auto" w:fill="auto"/>
            <w:vAlign w:val="center"/>
          </w:tcPr>
          <w:p>
            <w:pPr>
              <w:widowControl/>
              <w:adjustRightInd w:val="0"/>
              <w:snapToGrid w:val="0"/>
              <w:jc w:val="center"/>
              <w:rPr>
                <w:rFonts w:ascii="Times New Roman" w:hAnsi="Times New Roman" w:eastAsia="仿宋_GB2312" w:cs="Times New Roman"/>
                <w:bCs/>
                <w:color w:val="000000"/>
                <w:kern w:val="0"/>
                <w:sz w:val="24"/>
                <w:szCs w:val="24"/>
              </w:rPr>
            </w:pPr>
            <w:r>
              <w:rPr>
                <w:rFonts w:ascii="Times New Roman" w:hAnsi="Times New Roman" w:eastAsia="仿宋_GB2312" w:cs="Times New Roman"/>
                <w:bCs/>
                <w:color w:val="000000"/>
                <w:kern w:val="0"/>
                <w:sz w:val="24"/>
                <w:szCs w:val="24"/>
              </w:rPr>
              <w:t>37</w:t>
            </w:r>
          </w:p>
        </w:tc>
        <w:tc>
          <w:tcPr>
            <w:tcW w:w="4148" w:type="dxa"/>
            <w:shd w:val="clear" w:color="auto" w:fill="auto"/>
            <w:vAlign w:val="center"/>
          </w:tcPr>
          <w:p>
            <w:pPr>
              <w:widowControl/>
              <w:snapToGrid w:val="0"/>
              <w:jc w:val="center"/>
              <w:rPr>
                <w:rFonts w:ascii="Times New Roman" w:hAnsi="Times New Roman" w:eastAsia="仿宋_GB2312" w:cs="Times New Roman"/>
                <w:bCs/>
                <w:color w:val="000000"/>
                <w:kern w:val="0"/>
                <w:sz w:val="24"/>
                <w:szCs w:val="24"/>
              </w:rPr>
            </w:pPr>
            <w:r>
              <w:rPr>
                <w:rFonts w:ascii="Times New Roman" w:hAnsi="Times New Roman" w:eastAsia="仿宋_GB2312" w:cs="Times New Roman"/>
                <w:bCs/>
                <w:color w:val="000000"/>
                <w:kern w:val="0"/>
                <w:sz w:val="24"/>
                <w:szCs w:val="24"/>
              </w:rPr>
              <w:t>咪康唑口腔贴片</w:t>
            </w:r>
          </w:p>
        </w:tc>
        <w:tc>
          <w:tcPr>
            <w:tcW w:w="4682" w:type="dxa"/>
            <w:shd w:val="clear" w:color="auto" w:fill="auto"/>
            <w:vAlign w:val="center"/>
          </w:tcPr>
          <w:p>
            <w:pPr>
              <w:widowControl/>
              <w:snapToGrid w:val="0"/>
              <w:jc w:val="center"/>
              <w:rPr>
                <w:rFonts w:ascii="Times New Roman" w:hAnsi="Times New Roman" w:eastAsia="仿宋_GB2312" w:cs="Times New Roman"/>
                <w:bCs/>
                <w:color w:val="000000"/>
                <w:kern w:val="0"/>
                <w:sz w:val="24"/>
                <w:szCs w:val="24"/>
              </w:rPr>
            </w:pPr>
            <w:r>
              <w:rPr>
                <w:rFonts w:ascii="Times New Roman" w:hAnsi="Times New Roman" w:eastAsia="仿宋_GB2312" w:cs="Times New Roman"/>
                <w:bCs/>
                <w:color w:val="000000"/>
                <w:kern w:val="0"/>
                <w:sz w:val="24"/>
                <w:szCs w:val="24"/>
              </w:rPr>
              <w:t>成人口咽念珠菌病的局部治疗</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5" w:hRule="atLeast"/>
          <w:jc w:val="center"/>
        </w:trPr>
        <w:tc>
          <w:tcPr>
            <w:tcW w:w="809" w:type="dxa"/>
            <w:shd w:val="clear" w:color="auto" w:fill="auto"/>
            <w:vAlign w:val="center"/>
          </w:tcPr>
          <w:p>
            <w:pPr>
              <w:widowControl/>
              <w:adjustRightInd w:val="0"/>
              <w:snapToGrid w:val="0"/>
              <w:jc w:val="center"/>
              <w:rPr>
                <w:rFonts w:ascii="Times New Roman" w:hAnsi="Times New Roman" w:eastAsia="仿宋_GB2312" w:cs="Times New Roman"/>
                <w:bCs/>
                <w:color w:val="000000"/>
                <w:kern w:val="0"/>
                <w:sz w:val="24"/>
                <w:szCs w:val="24"/>
              </w:rPr>
            </w:pPr>
            <w:r>
              <w:rPr>
                <w:rFonts w:ascii="Times New Roman" w:hAnsi="Times New Roman" w:eastAsia="仿宋_GB2312" w:cs="Times New Roman"/>
                <w:bCs/>
                <w:color w:val="000000"/>
                <w:kern w:val="0"/>
                <w:sz w:val="24"/>
                <w:szCs w:val="24"/>
              </w:rPr>
              <w:t>38</w:t>
            </w:r>
          </w:p>
        </w:tc>
        <w:tc>
          <w:tcPr>
            <w:tcW w:w="4148" w:type="dxa"/>
            <w:shd w:val="clear" w:color="auto" w:fill="auto"/>
            <w:vAlign w:val="center"/>
          </w:tcPr>
          <w:p>
            <w:pPr>
              <w:widowControl/>
              <w:snapToGrid w:val="0"/>
              <w:jc w:val="center"/>
              <w:rPr>
                <w:rFonts w:ascii="Times New Roman" w:hAnsi="Times New Roman" w:eastAsia="仿宋_GB2312" w:cs="Times New Roman"/>
                <w:bCs/>
                <w:color w:val="000000"/>
                <w:kern w:val="0"/>
                <w:sz w:val="24"/>
                <w:szCs w:val="24"/>
              </w:rPr>
            </w:pPr>
            <w:r>
              <w:rPr>
                <w:rFonts w:ascii="Times New Roman" w:hAnsi="Times New Roman" w:eastAsia="仿宋_GB2312" w:cs="Times New Roman"/>
                <w:bCs/>
                <w:color w:val="000000"/>
                <w:kern w:val="0"/>
                <w:sz w:val="24"/>
                <w:szCs w:val="24"/>
              </w:rPr>
              <w:t>萘哌地尔片</w:t>
            </w:r>
          </w:p>
        </w:tc>
        <w:tc>
          <w:tcPr>
            <w:tcW w:w="4682" w:type="dxa"/>
            <w:shd w:val="clear" w:color="auto" w:fill="auto"/>
            <w:vAlign w:val="center"/>
          </w:tcPr>
          <w:p>
            <w:pPr>
              <w:widowControl/>
              <w:snapToGrid w:val="0"/>
              <w:jc w:val="center"/>
              <w:rPr>
                <w:rFonts w:ascii="Times New Roman" w:hAnsi="Times New Roman" w:eastAsia="仿宋_GB2312" w:cs="Times New Roman"/>
                <w:bCs/>
                <w:color w:val="000000"/>
                <w:kern w:val="0"/>
                <w:sz w:val="24"/>
                <w:szCs w:val="24"/>
              </w:rPr>
            </w:pPr>
            <w:r>
              <w:rPr>
                <w:rFonts w:ascii="Times New Roman" w:hAnsi="Times New Roman" w:eastAsia="仿宋_GB2312" w:cs="Times New Roman"/>
                <w:bCs/>
                <w:color w:val="000000"/>
                <w:kern w:val="0"/>
                <w:sz w:val="24"/>
                <w:szCs w:val="24"/>
              </w:rPr>
              <w:t>前列腺增生症引起的排尿障碍</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5" w:hRule="atLeast"/>
          <w:jc w:val="center"/>
        </w:trPr>
        <w:tc>
          <w:tcPr>
            <w:tcW w:w="809" w:type="dxa"/>
            <w:shd w:val="clear" w:color="auto" w:fill="auto"/>
            <w:vAlign w:val="center"/>
          </w:tcPr>
          <w:p>
            <w:pPr>
              <w:widowControl/>
              <w:adjustRightInd w:val="0"/>
              <w:snapToGrid w:val="0"/>
              <w:jc w:val="center"/>
              <w:rPr>
                <w:rFonts w:ascii="Times New Roman" w:hAnsi="Times New Roman" w:eastAsia="仿宋_GB2312" w:cs="Times New Roman"/>
                <w:bCs/>
                <w:color w:val="000000"/>
                <w:kern w:val="0"/>
                <w:sz w:val="24"/>
                <w:szCs w:val="24"/>
              </w:rPr>
            </w:pPr>
            <w:r>
              <w:rPr>
                <w:rFonts w:ascii="Times New Roman" w:hAnsi="Times New Roman" w:eastAsia="仿宋_GB2312" w:cs="Times New Roman"/>
                <w:bCs/>
                <w:color w:val="000000"/>
                <w:kern w:val="0"/>
                <w:sz w:val="24"/>
                <w:szCs w:val="24"/>
              </w:rPr>
              <w:t>39</w:t>
            </w:r>
          </w:p>
        </w:tc>
        <w:tc>
          <w:tcPr>
            <w:tcW w:w="4148" w:type="dxa"/>
            <w:shd w:val="clear" w:color="auto" w:fill="auto"/>
            <w:vAlign w:val="center"/>
          </w:tcPr>
          <w:p>
            <w:pPr>
              <w:widowControl/>
              <w:snapToGrid w:val="0"/>
              <w:jc w:val="center"/>
              <w:rPr>
                <w:rFonts w:ascii="Times New Roman" w:hAnsi="Times New Roman" w:eastAsia="仿宋_GB2312" w:cs="Times New Roman"/>
                <w:bCs/>
                <w:color w:val="000000"/>
                <w:kern w:val="0"/>
                <w:sz w:val="24"/>
                <w:szCs w:val="24"/>
              </w:rPr>
            </w:pPr>
            <w:r>
              <w:rPr>
                <w:rFonts w:ascii="Times New Roman" w:hAnsi="Times New Roman" w:eastAsia="仿宋_GB2312" w:cs="Times New Roman"/>
                <w:bCs/>
                <w:color w:val="000000"/>
                <w:kern w:val="0"/>
                <w:sz w:val="24"/>
                <w:szCs w:val="24"/>
              </w:rPr>
              <w:t>普卢利沙星片</w:t>
            </w:r>
          </w:p>
        </w:tc>
        <w:tc>
          <w:tcPr>
            <w:tcW w:w="4682" w:type="dxa"/>
            <w:shd w:val="clear" w:color="auto" w:fill="auto"/>
            <w:vAlign w:val="center"/>
          </w:tcPr>
          <w:p>
            <w:pPr>
              <w:widowControl/>
              <w:snapToGrid w:val="0"/>
              <w:jc w:val="center"/>
              <w:rPr>
                <w:rFonts w:ascii="Times New Roman" w:hAnsi="Times New Roman" w:eastAsia="仿宋_GB2312" w:cs="Times New Roman"/>
                <w:bCs/>
                <w:color w:val="000000"/>
                <w:kern w:val="0"/>
                <w:sz w:val="24"/>
                <w:szCs w:val="24"/>
              </w:rPr>
            </w:pPr>
            <w:r>
              <w:rPr>
                <w:rFonts w:ascii="Times New Roman" w:hAnsi="Times New Roman" w:eastAsia="仿宋_GB2312" w:cs="Times New Roman"/>
                <w:bCs/>
                <w:color w:val="000000"/>
                <w:kern w:val="0"/>
                <w:sz w:val="24"/>
                <w:szCs w:val="24"/>
              </w:rPr>
              <w:t>敏感菌引起的急性单纯性及复杂性下尿路感染、慢性支气管炎急性发作、急性细菌性鼻窦炎</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5" w:hRule="atLeast"/>
          <w:jc w:val="center"/>
        </w:trPr>
        <w:tc>
          <w:tcPr>
            <w:tcW w:w="809" w:type="dxa"/>
            <w:shd w:val="clear" w:color="auto" w:fill="auto"/>
            <w:vAlign w:val="center"/>
          </w:tcPr>
          <w:p>
            <w:pPr>
              <w:widowControl/>
              <w:adjustRightInd w:val="0"/>
              <w:snapToGrid w:val="0"/>
              <w:jc w:val="center"/>
              <w:rPr>
                <w:rFonts w:ascii="Times New Roman" w:hAnsi="Times New Roman" w:eastAsia="仿宋_GB2312" w:cs="Times New Roman"/>
                <w:bCs/>
                <w:color w:val="000000"/>
                <w:kern w:val="0"/>
                <w:sz w:val="24"/>
                <w:szCs w:val="24"/>
              </w:rPr>
            </w:pPr>
            <w:r>
              <w:rPr>
                <w:rFonts w:ascii="Times New Roman" w:hAnsi="Times New Roman" w:eastAsia="仿宋_GB2312" w:cs="Times New Roman"/>
                <w:bCs/>
                <w:color w:val="000000"/>
                <w:kern w:val="0"/>
                <w:sz w:val="24"/>
                <w:szCs w:val="24"/>
              </w:rPr>
              <w:t>40</w:t>
            </w:r>
          </w:p>
        </w:tc>
        <w:tc>
          <w:tcPr>
            <w:tcW w:w="4148" w:type="dxa"/>
            <w:shd w:val="clear" w:color="auto" w:fill="auto"/>
            <w:vAlign w:val="center"/>
          </w:tcPr>
          <w:p>
            <w:pPr>
              <w:widowControl/>
              <w:snapToGrid w:val="0"/>
              <w:jc w:val="center"/>
              <w:rPr>
                <w:rFonts w:ascii="Times New Roman" w:hAnsi="Times New Roman" w:eastAsia="仿宋_GB2312" w:cs="Times New Roman"/>
                <w:bCs/>
                <w:color w:val="000000"/>
                <w:kern w:val="0"/>
                <w:sz w:val="24"/>
                <w:szCs w:val="24"/>
              </w:rPr>
            </w:pPr>
            <w:r>
              <w:rPr>
                <w:rFonts w:ascii="Times New Roman" w:hAnsi="Times New Roman" w:eastAsia="仿宋_GB2312" w:cs="Times New Roman"/>
                <w:bCs/>
                <w:color w:val="000000"/>
                <w:kern w:val="0"/>
                <w:sz w:val="24"/>
                <w:szCs w:val="24"/>
              </w:rPr>
              <w:t>塞奈吉明滴眼液</w:t>
            </w:r>
          </w:p>
        </w:tc>
        <w:tc>
          <w:tcPr>
            <w:tcW w:w="4682" w:type="dxa"/>
            <w:shd w:val="clear" w:color="auto" w:fill="auto"/>
            <w:vAlign w:val="center"/>
          </w:tcPr>
          <w:p>
            <w:pPr>
              <w:widowControl/>
              <w:snapToGrid w:val="0"/>
              <w:jc w:val="center"/>
              <w:rPr>
                <w:rFonts w:ascii="Times New Roman" w:hAnsi="Times New Roman" w:eastAsia="仿宋_GB2312" w:cs="Times New Roman"/>
                <w:bCs/>
                <w:color w:val="000000"/>
                <w:kern w:val="0"/>
                <w:sz w:val="24"/>
                <w:szCs w:val="24"/>
              </w:rPr>
            </w:pPr>
            <w:r>
              <w:rPr>
                <w:rFonts w:ascii="Times New Roman" w:hAnsi="Times New Roman" w:eastAsia="仿宋_GB2312" w:cs="Times New Roman"/>
                <w:bCs/>
                <w:color w:val="000000"/>
                <w:kern w:val="0"/>
                <w:sz w:val="24"/>
                <w:szCs w:val="24"/>
              </w:rPr>
              <w:t>成人中度（持续性角膜上皮缺损）至重度（角膜溃疡）神经营养性角膜炎</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5" w:hRule="atLeast"/>
          <w:jc w:val="center"/>
        </w:trPr>
        <w:tc>
          <w:tcPr>
            <w:tcW w:w="809" w:type="dxa"/>
            <w:shd w:val="clear" w:color="auto" w:fill="auto"/>
            <w:vAlign w:val="center"/>
          </w:tcPr>
          <w:p>
            <w:pPr>
              <w:widowControl/>
              <w:adjustRightInd w:val="0"/>
              <w:snapToGrid w:val="0"/>
              <w:jc w:val="center"/>
              <w:rPr>
                <w:rFonts w:ascii="Times New Roman" w:hAnsi="Times New Roman" w:eastAsia="仿宋_GB2312" w:cs="Times New Roman"/>
                <w:bCs/>
                <w:color w:val="000000"/>
                <w:kern w:val="0"/>
                <w:sz w:val="24"/>
                <w:szCs w:val="24"/>
              </w:rPr>
            </w:pPr>
            <w:r>
              <w:rPr>
                <w:rFonts w:ascii="Times New Roman" w:hAnsi="Times New Roman" w:eastAsia="仿宋_GB2312" w:cs="Times New Roman"/>
                <w:bCs/>
                <w:color w:val="000000"/>
                <w:kern w:val="0"/>
                <w:sz w:val="24"/>
                <w:szCs w:val="24"/>
              </w:rPr>
              <w:t>41</w:t>
            </w:r>
          </w:p>
        </w:tc>
        <w:tc>
          <w:tcPr>
            <w:tcW w:w="4148" w:type="dxa"/>
            <w:shd w:val="clear" w:color="auto" w:fill="auto"/>
            <w:vAlign w:val="center"/>
          </w:tcPr>
          <w:p>
            <w:pPr>
              <w:widowControl/>
              <w:snapToGrid w:val="0"/>
              <w:jc w:val="center"/>
              <w:rPr>
                <w:rFonts w:ascii="Times New Roman" w:hAnsi="Times New Roman" w:eastAsia="仿宋_GB2312" w:cs="Times New Roman"/>
                <w:bCs/>
                <w:color w:val="000000"/>
                <w:kern w:val="0"/>
                <w:sz w:val="24"/>
                <w:szCs w:val="24"/>
              </w:rPr>
            </w:pPr>
            <w:r>
              <w:rPr>
                <w:rFonts w:ascii="Times New Roman" w:hAnsi="Times New Roman" w:eastAsia="仿宋_GB2312" w:cs="Times New Roman"/>
                <w:bCs/>
                <w:color w:val="000000"/>
                <w:kern w:val="0"/>
                <w:sz w:val="24"/>
                <w:szCs w:val="24"/>
              </w:rPr>
              <w:t>他克莫司颗粒</w:t>
            </w:r>
          </w:p>
        </w:tc>
        <w:tc>
          <w:tcPr>
            <w:tcW w:w="4682" w:type="dxa"/>
            <w:shd w:val="clear" w:color="auto" w:fill="auto"/>
            <w:vAlign w:val="center"/>
          </w:tcPr>
          <w:p>
            <w:pPr>
              <w:widowControl/>
              <w:snapToGrid w:val="0"/>
              <w:jc w:val="center"/>
              <w:rPr>
                <w:rFonts w:ascii="Times New Roman" w:hAnsi="Times New Roman" w:eastAsia="仿宋_GB2312" w:cs="Times New Roman"/>
                <w:bCs/>
                <w:color w:val="000000"/>
                <w:kern w:val="0"/>
                <w:sz w:val="24"/>
                <w:szCs w:val="24"/>
              </w:rPr>
            </w:pPr>
            <w:r>
              <w:rPr>
                <w:rFonts w:ascii="Times New Roman" w:hAnsi="Times New Roman" w:eastAsia="仿宋_GB2312" w:cs="Times New Roman"/>
                <w:bCs/>
                <w:color w:val="000000"/>
                <w:kern w:val="0"/>
                <w:sz w:val="24"/>
                <w:szCs w:val="24"/>
              </w:rPr>
              <w:t>预防和治疗儿童肝肾脏移植术后的移植物排斥反应</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5" w:hRule="atLeast"/>
          <w:jc w:val="center"/>
        </w:trPr>
        <w:tc>
          <w:tcPr>
            <w:tcW w:w="809" w:type="dxa"/>
            <w:shd w:val="clear" w:color="auto" w:fill="auto"/>
            <w:vAlign w:val="center"/>
          </w:tcPr>
          <w:p>
            <w:pPr>
              <w:widowControl/>
              <w:adjustRightInd w:val="0"/>
              <w:snapToGrid w:val="0"/>
              <w:jc w:val="center"/>
              <w:rPr>
                <w:rFonts w:ascii="Times New Roman" w:hAnsi="Times New Roman" w:eastAsia="仿宋_GB2312" w:cs="Times New Roman"/>
                <w:bCs/>
                <w:color w:val="000000"/>
                <w:kern w:val="0"/>
                <w:sz w:val="24"/>
                <w:szCs w:val="24"/>
              </w:rPr>
            </w:pPr>
            <w:r>
              <w:rPr>
                <w:rFonts w:ascii="Times New Roman" w:hAnsi="Times New Roman" w:eastAsia="仿宋_GB2312" w:cs="Times New Roman"/>
                <w:bCs/>
                <w:color w:val="000000"/>
                <w:kern w:val="0"/>
                <w:sz w:val="24"/>
                <w:szCs w:val="24"/>
              </w:rPr>
              <w:t>42</w:t>
            </w:r>
          </w:p>
        </w:tc>
        <w:tc>
          <w:tcPr>
            <w:tcW w:w="4148" w:type="dxa"/>
            <w:shd w:val="clear" w:color="auto" w:fill="auto"/>
            <w:vAlign w:val="center"/>
          </w:tcPr>
          <w:p>
            <w:pPr>
              <w:widowControl/>
              <w:snapToGrid w:val="0"/>
              <w:jc w:val="center"/>
              <w:rPr>
                <w:rFonts w:ascii="Times New Roman" w:hAnsi="Times New Roman" w:eastAsia="仿宋_GB2312" w:cs="Times New Roman"/>
                <w:bCs/>
                <w:color w:val="000000"/>
                <w:kern w:val="0"/>
                <w:sz w:val="24"/>
                <w:szCs w:val="24"/>
              </w:rPr>
            </w:pPr>
            <w:r>
              <w:rPr>
                <w:rFonts w:ascii="Times New Roman" w:hAnsi="Times New Roman" w:eastAsia="仿宋_GB2312" w:cs="Times New Roman"/>
                <w:bCs/>
                <w:color w:val="000000"/>
                <w:kern w:val="0"/>
                <w:sz w:val="24"/>
                <w:szCs w:val="24"/>
              </w:rPr>
              <w:t>替格瑞洛分散片</w:t>
            </w:r>
          </w:p>
        </w:tc>
        <w:tc>
          <w:tcPr>
            <w:tcW w:w="4682" w:type="dxa"/>
            <w:shd w:val="clear" w:color="auto" w:fill="auto"/>
            <w:vAlign w:val="center"/>
          </w:tcPr>
          <w:p>
            <w:pPr>
              <w:widowControl/>
              <w:snapToGrid w:val="0"/>
              <w:jc w:val="center"/>
              <w:rPr>
                <w:rFonts w:ascii="Times New Roman" w:hAnsi="Times New Roman" w:eastAsia="仿宋_GB2312" w:cs="Times New Roman"/>
                <w:bCs/>
                <w:color w:val="000000"/>
                <w:kern w:val="0"/>
                <w:sz w:val="24"/>
                <w:szCs w:val="24"/>
              </w:rPr>
            </w:pPr>
            <w:r>
              <w:rPr>
                <w:rFonts w:ascii="Times New Roman" w:hAnsi="Times New Roman" w:eastAsia="仿宋_GB2312" w:cs="Times New Roman"/>
                <w:bCs/>
                <w:color w:val="000000"/>
                <w:kern w:val="0"/>
                <w:sz w:val="24"/>
                <w:szCs w:val="24"/>
              </w:rPr>
              <w:t>降低心血管死亡、心肌梗死和卒中的发生率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5" w:hRule="atLeast"/>
          <w:jc w:val="center"/>
        </w:trPr>
        <w:tc>
          <w:tcPr>
            <w:tcW w:w="809" w:type="dxa"/>
            <w:shd w:val="clear" w:color="auto" w:fill="auto"/>
            <w:vAlign w:val="center"/>
          </w:tcPr>
          <w:p>
            <w:pPr>
              <w:widowControl/>
              <w:adjustRightInd w:val="0"/>
              <w:snapToGrid w:val="0"/>
              <w:jc w:val="center"/>
              <w:rPr>
                <w:rFonts w:ascii="Times New Roman" w:hAnsi="Times New Roman" w:eastAsia="仿宋_GB2312" w:cs="Times New Roman"/>
                <w:bCs/>
                <w:color w:val="000000"/>
                <w:kern w:val="0"/>
                <w:sz w:val="24"/>
                <w:szCs w:val="24"/>
              </w:rPr>
            </w:pPr>
            <w:r>
              <w:rPr>
                <w:rFonts w:ascii="Times New Roman" w:hAnsi="Times New Roman" w:eastAsia="仿宋_GB2312" w:cs="Times New Roman"/>
                <w:bCs/>
                <w:color w:val="000000"/>
                <w:kern w:val="0"/>
                <w:sz w:val="24"/>
                <w:szCs w:val="24"/>
              </w:rPr>
              <w:t>43</w:t>
            </w:r>
          </w:p>
        </w:tc>
        <w:tc>
          <w:tcPr>
            <w:tcW w:w="4148" w:type="dxa"/>
            <w:shd w:val="clear" w:color="auto" w:fill="auto"/>
            <w:vAlign w:val="center"/>
          </w:tcPr>
          <w:p>
            <w:pPr>
              <w:widowControl/>
              <w:snapToGrid w:val="0"/>
              <w:jc w:val="center"/>
              <w:rPr>
                <w:rFonts w:ascii="Times New Roman" w:hAnsi="Times New Roman" w:eastAsia="仿宋_GB2312" w:cs="Times New Roman"/>
                <w:bCs/>
                <w:color w:val="000000"/>
                <w:kern w:val="0"/>
                <w:sz w:val="24"/>
                <w:szCs w:val="24"/>
              </w:rPr>
            </w:pPr>
            <w:r>
              <w:rPr>
                <w:rFonts w:ascii="Times New Roman" w:hAnsi="Times New Roman" w:eastAsia="仿宋_GB2312" w:cs="Times New Roman"/>
                <w:bCs/>
                <w:color w:val="000000"/>
                <w:kern w:val="0"/>
                <w:sz w:val="24"/>
                <w:szCs w:val="24"/>
              </w:rPr>
              <w:t>盐酸奥洛他定滴眼液</w:t>
            </w:r>
          </w:p>
        </w:tc>
        <w:tc>
          <w:tcPr>
            <w:tcW w:w="4682" w:type="dxa"/>
            <w:shd w:val="clear" w:color="auto" w:fill="auto"/>
            <w:vAlign w:val="center"/>
          </w:tcPr>
          <w:p>
            <w:pPr>
              <w:widowControl/>
              <w:snapToGrid w:val="0"/>
              <w:jc w:val="center"/>
              <w:rPr>
                <w:rFonts w:ascii="Times New Roman" w:hAnsi="Times New Roman" w:eastAsia="仿宋_GB2312" w:cs="Times New Roman"/>
                <w:bCs/>
                <w:color w:val="000000"/>
                <w:kern w:val="0"/>
                <w:sz w:val="24"/>
                <w:szCs w:val="24"/>
              </w:rPr>
            </w:pPr>
            <w:r>
              <w:rPr>
                <w:rFonts w:ascii="Times New Roman" w:hAnsi="Times New Roman" w:eastAsia="仿宋_GB2312" w:cs="Times New Roman"/>
                <w:bCs/>
                <w:color w:val="000000"/>
                <w:kern w:val="0"/>
                <w:sz w:val="24"/>
                <w:szCs w:val="24"/>
              </w:rPr>
              <w:t>过敏性结膜炎相关的眼痒</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5" w:hRule="atLeast"/>
          <w:jc w:val="center"/>
        </w:trPr>
        <w:tc>
          <w:tcPr>
            <w:tcW w:w="809" w:type="dxa"/>
            <w:shd w:val="clear" w:color="auto" w:fill="auto"/>
            <w:vAlign w:val="center"/>
          </w:tcPr>
          <w:p>
            <w:pPr>
              <w:widowControl/>
              <w:adjustRightInd w:val="0"/>
              <w:snapToGrid w:val="0"/>
              <w:jc w:val="center"/>
              <w:rPr>
                <w:rFonts w:ascii="Times New Roman" w:hAnsi="Times New Roman" w:eastAsia="仿宋_GB2312" w:cs="Times New Roman"/>
                <w:bCs/>
                <w:color w:val="000000"/>
                <w:kern w:val="0"/>
                <w:sz w:val="24"/>
                <w:szCs w:val="24"/>
              </w:rPr>
            </w:pPr>
            <w:r>
              <w:rPr>
                <w:rFonts w:ascii="Times New Roman" w:hAnsi="Times New Roman" w:eastAsia="仿宋_GB2312" w:cs="Times New Roman"/>
                <w:bCs/>
                <w:color w:val="000000"/>
                <w:kern w:val="0"/>
                <w:sz w:val="24"/>
                <w:szCs w:val="24"/>
              </w:rPr>
              <w:t>44</w:t>
            </w:r>
          </w:p>
        </w:tc>
        <w:tc>
          <w:tcPr>
            <w:tcW w:w="4148" w:type="dxa"/>
            <w:shd w:val="clear" w:color="auto" w:fill="auto"/>
            <w:vAlign w:val="center"/>
          </w:tcPr>
          <w:p>
            <w:pPr>
              <w:widowControl/>
              <w:snapToGrid w:val="0"/>
              <w:jc w:val="center"/>
              <w:rPr>
                <w:rFonts w:ascii="Times New Roman" w:hAnsi="Times New Roman" w:eastAsia="仿宋_GB2312" w:cs="Times New Roman"/>
                <w:bCs/>
                <w:color w:val="000000"/>
                <w:kern w:val="0"/>
                <w:sz w:val="24"/>
                <w:szCs w:val="24"/>
              </w:rPr>
            </w:pPr>
            <w:r>
              <w:rPr>
                <w:rFonts w:ascii="Times New Roman" w:hAnsi="Times New Roman" w:eastAsia="仿宋_GB2312" w:cs="Times New Roman"/>
                <w:bCs/>
                <w:color w:val="000000"/>
                <w:kern w:val="0"/>
                <w:sz w:val="24"/>
                <w:szCs w:val="24"/>
              </w:rPr>
              <w:t>注射用头孢比罗酯钠</w:t>
            </w:r>
          </w:p>
        </w:tc>
        <w:tc>
          <w:tcPr>
            <w:tcW w:w="4682" w:type="dxa"/>
            <w:shd w:val="clear" w:color="auto" w:fill="auto"/>
            <w:vAlign w:val="center"/>
          </w:tcPr>
          <w:p>
            <w:pPr>
              <w:widowControl/>
              <w:snapToGrid w:val="0"/>
              <w:jc w:val="center"/>
              <w:rPr>
                <w:rFonts w:ascii="Times New Roman" w:hAnsi="Times New Roman" w:eastAsia="仿宋_GB2312" w:cs="Times New Roman"/>
                <w:bCs/>
                <w:color w:val="000000"/>
                <w:kern w:val="0"/>
                <w:sz w:val="24"/>
                <w:szCs w:val="24"/>
              </w:rPr>
            </w:pPr>
            <w:r>
              <w:rPr>
                <w:rFonts w:ascii="Times New Roman" w:hAnsi="Times New Roman" w:eastAsia="仿宋_GB2312" w:cs="Times New Roman"/>
                <w:bCs/>
                <w:color w:val="000000"/>
                <w:kern w:val="0"/>
                <w:sz w:val="24"/>
                <w:szCs w:val="24"/>
              </w:rPr>
              <w:t>医院获得性肺炎、社区获得性肺炎</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5" w:hRule="atLeast"/>
          <w:jc w:val="center"/>
        </w:trPr>
        <w:tc>
          <w:tcPr>
            <w:tcW w:w="809" w:type="dxa"/>
            <w:shd w:val="clear" w:color="auto" w:fill="auto"/>
            <w:vAlign w:val="center"/>
          </w:tcPr>
          <w:p>
            <w:pPr>
              <w:widowControl/>
              <w:adjustRightInd w:val="0"/>
              <w:snapToGrid w:val="0"/>
              <w:jc w:val="center"/>
              <w:rPr>
                <w:rFonts w:ascii="Times New Roman" w:hAnsi="Times New Roman" w:eastAsia="仿宋_GB2312" w:cs="Times New Roman"/>
                <w:bCs/>
                <w:color w:val="000000"/>
                <w:kern w:val="0"/>
                <w:sz w:val="24"/>
                <w:szCs w:val="24"/>
              </w:rPr>
            </w:pPr>
            <w:r>
              <w:rPr>
                <w:rFonts w:ascii="Times New Roman" w:hAnsi="Times New Roman" w:eastAsia="仿宋_GB2312" w:cs="Times New Roman"/>
                <w:bCs/>
                <w:color w:val="000000"/>
                <w:kern w:val="0"/>
                <w:sz w:val="24"/>
                <w:szCs w:val="24"/>
              </w:rPr>
              <w:t>45</w:t>
            </w:r>
          </w:p>
        </w:tc>
        <w:tc>
          <w:tcPr>
            <w:tcW w:w="4148" w:type="dxa"/>
            <w:shd w:val="clear" w:color="auto" w:fill="auto"/>
            <w:vAlign w:val="center"/>
          </w:tcPr>
          <w:p>
            <w:pPr>
              <w:widowControl/>
              <w:snapToGrid w:val="0"/>
              <w:jc w:val="center"/>
              <w:rPr>
                <w:rFonts w:ascii="Times New Roman" w:hAnsi="Times New Roman" w:eastAsia="仿宋_GB2312" w:cs="Times New Roman"/>
                <w:bCs/>
                <w:color w:val="000000"/>
                <w:kern w:val="0"/>
                <w:sz w:val="24"/>
                <w:szCs w:val="24"/>
              </w:rPr>
            </w:pPr>
            <w:r>
              <w:rPr>
                <w:rFonts w:ascii="Times New Roman" w:hAnsi="Times New Roman" w:eastAsia="仿宋_GB2312" w:cs="Times New Roman"/>
                <w:bCs/>
                <w:color w:val="000000"/>
                <w:kern w:val="0"/>
                <w:sz w:val="24"/>
                <w:szCs w:val="24"/>
              </w:rPr>
              <w:t>注射用维得利珠单抗</w:t>
            </w:r>
          </w:p>
        </w:tc>
        <w:tc>
          <w:tcPr>
            <w:tcW w:w="4682" w:type="dxa"/>
            <w:shd w:val="clear" w:color="auto" w:fill="auto"/>
            <w:vAlign w:val="center"/>
          </w:tcPr>
          <w:p>
            <w:pPr>
              <w:widowControl/>
              <w:snapToGrid w:val="0"/>
              <w:jc w:val="center"/>
              <w:rPr>
                <w:rFonts w:ascii="Times New Roman" w:hAnsi="Times New Roman" w:eastAsia="仿宋_GB2312" w:cs="Times New Roman"/>
                <w:bCs/>
                <w:color w:val="000000"/>
                <w:kern w:val="0"/>
                <w:sz w:val="24"/>
                <w:szCs w:val="24"/>
              </w:rPr>
            </w:pPr>
            <w:r>
              <w:rPr>
                <w:rFonts w:ascii="Times New Roman" w:hAnsi="Times New Roman" w:eastAsia="仿宋_GB2312" w:cs="Times New Roman"/>
                <w:bCs/>
                <w:color w:val="000000"/>
                <w:kern w:val="0"/>
                <w:sz w:val="24"/>
                <w:szCs w:val="24"/>
              </w:rPr>
              <w:t>成人中重度溃疡性结肠炎和中重度克罗恩病</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5" w:hRule="atLeast"/>
          <w:jc w:val="center"/>
        </w:trPr>
        <w:tc>
          <w:tcPr>
            <w:tcW w:w="809" w:type="dxa"/>
            <w:shd w:val="clear" w:color="auto" w:fill="auto"/>
            <w:vAlign w:val="center"/>
          </w:tcPr>
          <w:p>
            <w:pPr>
              <w:widowControl/>
              <w:adjustRightInd w:val="0"/>
              <w:snapToGrid w:val="0"/>
              <w:jc w:val="center"/>
              <w:rPr>
                <w:rFonts w:ascii="Times New Roman" w:hAnsi="Times New Roman" w:eastAsia="仿宋_GB2312" w:cs="Times New Roman"/>
                <w:bCs/>
                <w:color w:val="000000"/>
                <w:kern w:val="0"/>
                <w:sz w:val="24"/>
                <w:szCs w:val="24"/>
              </w:rPr>
            </w:pPr>
            <w:r>
              <w:rPr>
                <w:rFonts w:ascii="Times New Roman" w:hAnsi="Times New Roman" w:eastAsia="仿宋_GB2312" w:cs="Times New Roman"/>
                <w:bCs/>
                <w:color w:val="000000"/>
                <w:kern w:val="0"/>
                <w:sz w:val="24"/>
                <w:szCs w:val="24"/>
              </w:rPr>
              <w:t>46</w:t>
            </w:r>
          </w:p>
        </w:tc>
        <w:tc>
          <w:tcPr>
            <w:tcW w:w="4148" w:type="dxa"/>
            <w:shd w:val="clear" w:color="auto" w:fill="auto"/>
            <w:vAlign w:val="center"/>
          </w:tcPr>
          <w:p>
            <w:pPr>
              <w:widowControl/>
              <w:snapToGrid w:val="0"/>
              <w:jc w:val="center"/>
              <w:rPr>
                <w:rFonts w:ascii="Times New Roman" w:hAnsi="Times New Roman" w:eastAsia="仿宋_GB2312" w:cs="Times New Roman"/>
                <w:bCs/>
                <w:color w:val="000000"/>
                <w:kern w:val="0"/>
                <w:sz w:val="24"/>
                <w:szCs w:val="24"/>
              </w:rPr>
            </w:pPr>
            <w:r>
              <w:rPr>
                <w:rFonts w:ascii="Times New Roman" w:hAnsi="Times New Roman" w:eastAsia="仿宋_GB2312" w:cs="Times New Roman"/>
                <w:bCs/>
                <w:color w:val="000000"/>
                <w:kern w:val="0"/>
                <w:sz w:val="24"/>
                <w:szCs w:val="24"/>
              </w:rPr>
              <w:t>左西孟旦注射液</w:t>
            </w:r>
          </w:p>
        </w:tc>
        <w:tc>
          <w:tcPr>
            <w:tcW w:w="4682" w:type="dxa"/>
            <w:shd w:val="clear" w:color="auto" w:fill="auto"/>
            <w:vAlign w:val="center"/>
          </w:tcPr>
          <w:p>
            <w:pPr>
              <w:widowControl/>
              <w:snapToGrid w:val="0"/>
              <w:jc w:val="center"/>
              <w:rPr>
                <w:rFonts w:ascii="Times New Roman" w:hAnsi="Times New Roman" w:eastAsia="仿宋_GB2312" w:cs="Times New Roman"/>
                <w:bCs/>
                <w:color w:val="000000"/>
                <w:kern w:val="0"/>
                <w:sz w:val="24"/>
                <w:szCs w:val="24"/>
              </w:rPr>
            </w:pPr>
            <w:r>
              <w:rPr>
                <w:rFonts w:ascii="Times New Roman" w:hAnsi="Times New Roman" w:eastAsia="仿宋_GB2312" w:cs="Times New Roman"/>
                <w:bCs/>
                <w:color w:val="000000"/>
                <w:kern w:val="0"/>
                <w:sz w:val="24"/>
                <w:szCs w:val="24"/>
              </w:rPr>
              <w:t>传统治疗疗效不佳且需增加心肌收缩力急性失代偿心力衰竭</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5" w:hRule="atLeast"/>
          <w:jc w:val="center"/>
        </w:trPr>
        <w:tc>
          <w:tcPr>
            <w:tcW w:w="809" w:type="dxa"/>
            <w:shd w:val="clear" w:color="auto" w:fill="auto"/>
            <w:vAlign w:val="center"/>
          </w:tcPr>
          <w:p>
            <w:pPr>
              <w:widowControl/>
              <w:adjustRightInd w:val="0"/>
              <w:snapToGrid w:val="0"/>
              <w:jc w:val="center"/>
              <w:rPr>
                <w:rFonts w:ascii="Times New Roman" w:hAnsi="Times New Roman" w:eastAsia="仿宋_GB2312" w:cs="Times New Roman"/>
                <w:bCs/>
                <w:color w:val="000000"/>
                <w:kern w:val="0"/>
                <w:sz w:val="24"/>
                <w:szCs w:val="24"/>
              </w:rPr>
            </w:pPr>
            <w:r>
              <w:rPr>
                <w:rFonts w:ascii="Times New Roman" w:hAnsi="Times New Roman" w:eastAsia="仿宋_GB2312" w:cs="Times New Roman"/>
                <w:bCs/>
                <w:color w:val="000000"/>
                <w:kern w:val="0"/>
                <w:sz w:val="24"/>
                <w:szCs w:val="24"/>
              </w:rPr>
              <w:t>47</w:t>
            </w:r>
          </w:p>
        </w:tc>
        <w:tc>
          <w:tcPr>
            <w:tcW w:w="4148" w:type="dxa"/>
            <w:shd w:val="clear" w:color="auto" w:fill="auto"/>
            <w:vAlign w:val="center"/>
          </w:tcPr>
          <w:p>
            <w:pPr>
              <w:widowControl/>
              <w:snapToGrid w:val="0"/>
              <w:jc w:val="center"/>
              <w:rPr>
                <w:rFonts w:ascii="Times New Roman" w:hAnsi="Times New Roman" w:eastAsia="仿宋_GB2312" w:cs="Times New Roman"/>
                <w:bCs/>
                <w:color w:val="000000"/>
                <w:kern w:val="0"/>
                <w:sz w:val="24"/>
                <w:szCs w:val="24"/>
              </w:rPr>
            </w:pPr>
            <w:r>
              <w:rPr>
                <w:rFonts w:ascii="Times New Roman" w:hAnsi="Times New Roman" w:eastAsia="仿宋_GB2312" w:cs="Times New Roman"/>
                <w:bCs/>
                <w:color w:val="000000"/>
                <w:kern w:val="0"/>
                <w:sz w:val="24"/>
                <w:szCs w:val="24"/>
              </w:rPr>
              <w:t>布罗利尤单抗注射液</w:t>
            </w:r>
          </w:p>
        </w:tc>
        <w:tc>
          <w:tcPr>
            <w:tcW w:w="4682" w:type="dxa"/>
            <w:shd w:val="clear" w:color="auto" w:fill="auto"/>
            <w:vAlign w:val="center"/>
          </w:tcPr>
          <w:p>
            <w:pPr>
              <w:widowControl/>
              <w:snapToGrid w:val="0"/>
              <w:jc w:val="center"/>
              <w:rPr>
                <w:rFonts w:ascii="Times New Roman" w:hAnsi="Times New Roman" w:eastAsia="仿宋_GB2312" w:cs="Times New Roman"/>
                <w:bCs/>
                <w:color w:val="000000"/>
                <w:kern w:val="0"/>
                <w:sz w:val="24"/>
                <w:szCs w:val="24"/>
              </w:rPr>
            </w:pPr>
            <w:r>
              <w:rPr>
                <w:rFonts w:ascii="Times New Roman" w:hAnsi="Times New Roman" w:eastAsia="仿宋_GB2312" w:cs="Times New Roman"/>
                <w:bCs/>
                <w:color w:val="000000"/>
                <w:kern w:val="0"/>
                <w:sz w:val="24"/>
                <w:szCs w:val="24"/>
              </w:rPr>
              <w:t>A型血友病常规预防、出血事件的按需治疗和控制，以及围手术期出血的管理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5" w:hRule="atLeast"/>
          <w:jc w:val="center"/>
        </w:trPr>
        <w:tc>
          <w:tcPr>
            <w:tcW w:w="809" w:type="dxa"/>
            <w:shd w:val="clear" w:color="auto" w:fill="auto"/>
            <w:vAlign w:val="center"/>
          </w:tcPr>
          <w:p>
            <w:pPr>
              <w:widowControl/>
              <w:adjustRightInd w:val="0"/>
              <w:snapToGrid w:val="0"/>
              <w:jc w:val="center"/>
              <w:rPr>
                <w:rFonts w:ascii="Times New Roman" w:hAnsi="Times New Roman" w:eastAsia="仿宋_GB2312" w:cs="Times New Roman"/>
                <w:bCs/>
                <w:color w:val="000000"/>
                <w:kern w:val="0"/>
                <w:sz w:val="24"/>
                <w:szCs w:val="24"/>
              </w:rPr>
            </w:pPr>
            <w:r>
              <w:rPr>
                <w:rFonts w:ascii="Times New Roman" w:hAnsi="Times New Roman" w:eastAsia="仿宋_GB2312" w:cs="Times New Roman"/>
                <w:bCs/>
                <w:color w:val="000000"/>
                <w:kern w:val="0"/>
                <w:sz w:val="24"/>
                <w:szCs w:val="24"/>
              </w:rPr>
              <w:t>48</w:t>
            </w:r>
          </w:p>
        </w:tc>
        <w:tc>
          <w:tcPr>
            <w:tcW w:w="4148" w:type="dxa"/>
            <w:shd w:val="clear" w:color="auto" w:fill="auto"/>
            <w:vAlign w:val="center"/>
          </w:tcPr>
          <w:p>
            <w:pPr>
              <w:widowControl/>
              <w:snapToGrid w:val="0"/>
              <w:jc w:val="center"/>
              <w:rPr>
                <w:rFonts w:ascii="Times New Roman" w:hAnsi="Times New Roman" w:eastAsia="仿宋_GB2312" w:cs="Times New Roman"/>
                <w:bCs/>
                <w:color w:val="000000"/>
                <w:kern w:val="0"/>
                <w:sz w:val="24"/>
                <w:szCs w:val="24"/>
              </w:rPr>
            </w:pPr>
            <w:r>
              <w:rPr>
                <w:rFonts w:ascii="Times New Roman" w:hAnsi="Times New Roman" w:eastAsia="仿宋_GB2312" w:cs="Times New Roman"/>
                <w:bCs/>
                <w:color w:val="000000"/>
                <w:kern w:val="0"/>
                <w:sz w:val="24"/>
                <w:szCs w:val="24"/>
              </w:rPr>
              <w:t>注射用A型肉毒毒素</w:t>
            </w:r>
          </w:p>
        </w:tc>
        <w:tc>
          <w:tcPr>
            <w:tcW w:w="4682" w:type="dxa"/>
            <w:shd w:val="clear" w:color="auto" w:fill="auto"/>
            <w:vAlign w:val="center"/>
          </w:tcPr>
          <w:p>
            <w:pPr>
              <w:widowControl/>
              <w:snapToGrid w:val="0"/>
              <w:jc w:val="center"/>
              <w:rPr>
                <w:rFonts w:ascii="Times New Roman" w:hAnsi="Times New Roman" w:eastAsia="仿宋_GB2312" w:cs="Times New Roman"/>
                <w:bCs/>
                <w:color w:val="000000"/>
                <w:kern w:val="0"/>
                <w:sz w:val="24"/>
                <w:szCs w:val="24"/>
              </w:rPr>
            </w:pPr>
            <w:r>
              <w:rPr>
                <w:rFonts w:ascii="Times New Roman" w:hAnsi="Times New Roman" w:eastAsia="仿宋_GB2312" w:cs="Times New Roman"/>
                <w:bCs/>
                <w:color w:val="000000"/>
                <w:kern w:val="0"/>
                <w:sz w:val="24"/>
                <w:szCs w:val="24"/>
              </w:rPr>
              <w:t>暂时性改善中重度皱眉纹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5" w:hRule="atLeast"/>
          <w:jc w:val="center"/>
        </w:trPr>
        <w:tc>
          <w:tcPr>
            <w:tcW w:w="809" w:type="dxa"/>
            <w:shd w:val="clear" w:color="auto" w:fill="auto"/>
            <w:vAlign w:val="center"/>
          </w:tcPr>
          <w:p>
            <w:pPr>
              <w:widowControl/>
              <w:adjustRightInd w:val="0"/>
              <w:snapToGrid w:val="0"/>
              <w:jc w:val="center"/>
              <w:rPr>
                <w:rFonts w:ascii="Times New Roman" w:hAnsi="Times New Roman" w:eastAsia="仿宋_GB2312" w:cs="Times New Roman"/>
                <w:bCs/>
                <w:color w:val="000000"/>
                <w:kern w:val="0"/>
                <w:sz w:val="24"/>
                <w:szCs w:val="24"/>
              </w:rPr>
            </w:pPr>
            <w:r>
              <w:rPr>
                <w:rFonts w:ascii="Times New Roman" w:hAnsi="Times New Roman" w:eastAsia="仿宋_GB2312" w:cs="Times New Roman"/>
                <w:bCs/>
                <w:color w:val="000000"/>
                <w:kern w:val="0"/>
                <w:sz w:val="24"/>
                <w:szCs w:val="24"/>
              </w:rPr>
              <w:t>49</w:t>
            </w:r>
          </w:p>
        </w:tc>
        <w:tc>
          <w:tcPr>
            <w:tcW w:w="4148" w:type="dxa"/>
            <w:shd w:val="clear" w:color="auto" w:fill="auto"/>
            <w:vAlign w:val="center"/>
          </w:tcPr>
          <w:p>
            <w:pPr>
              <w:widowControl/>
              <w:snapToGrid w:val="0"/>
              <w:jc w:val="center"/>
              <w:rPr>
                <w:rFonts w:ascii="Times New Roman" w:hAnsi="Times New Roman" w:eastAsia="仿宋_GB2312" w:cs="Times New Roman"/>
                <w:bCs/>
                <w:color w:val="000000"/>
                <w:kern w:val="0"/>
                <w:sz w:val="24"/>
                <w:szCs w:val="24"/>
              </w:rPr>
            </w:pPr>
            <w:r>
              <w:rPr>
                <w:rFonts w:ascii="Times New Roman" w:hAnsi="Times New Roman" w:eastAsia="仿宋_GB2312" w:cs="Times New Roman"/>
                <w:bCs/>
                <w:color w:val="000000"/>
                <w:kern w:val="0"/>
                <w:sz w:val="24"/>
                <w:szCs w:val="24"/>
              </w:rPr>
              <w:t>阿帕他胺片</w:t>
            </w:r>
            <w:r>
              <w:rPr>
                <w:rFonts w:ascii="Times New Roman" w:hAnsi="Times New Roman" w:eastAsia="仿宋_GB2312" w:cs="Times New Roman"/>
                <w:b/>
                <w:bCs/>
                <w:color w:val="000000"/>
                <w:kern w:val="0"/>
                <w:sz w:val="24"/>
                <w:szCs w:val="24"/>
                <w:vertAlign w:val="superscript"/>
              </w:rPr>
              <w:t>#</w:t>
            </w:r>
          </w:p>
        </w:tc>
        <w:tc>
          <w:tcPr>
            <w:tcW w:w="4682" w:type="dxa"/>
            <w:shd w:val="clear" w:color="auto" w:fill="auto"/>
            <w:vAlign w:val="center"/>
          </w:tcPr>
          <w:p>
            <w:pPr>
              <w:widowControl/>
              <w:snapToGrid w:val="0"/>
              <w:jc w:val="center"/>
              <w:rPr>
                <w:rFonts w:ascii="Times New Roman" w:hAnsi="Times New Roman" w:eastAsia="仿宋_GB2312" w:cs="Times New Roman"/>
                <w:bCs/>
                <w:color w:val="000000"/>
                <w:kern w:val="0"/>
                <w:sz w:val="24"/>
                <w:szCs w:val="24"/>
              </w:rPr>
            </w:pPr>
            <w:r>
              <w:rPr>
                <w:rFonts w:ascii="Times New Roman" w:hAnsi="Times New Roman" w:eastAsia="仿宋_GB2312" w:cs="Times New Roman"/>
                <w:bCs/>
                <w:color w:val="000000"/>
                <w:kern w:val="0"/>
                <w:sz w:val="24"/>
                <w:szCs w:val="24"/>
              </w:rPr>
              <w:t>转移性内分泌治疗敏感性前列腺癌</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5" w:hRule="atLeast"/>
          <w:jc w:val="center"/>
        </w:trPr>
        <w:tc>
          <w:tcPr>
            <w:tcW w:w="809" w:type="dxa"/>
            <w:shd w:val="clear" w:color="auto" w:fill="auto"/>
            <w:vAlign w:val="center"/>
          </w:tcPr>
          <w:p>
            <w:pPr>
              <w:widowControl/>
              <w:adjustRightInd w:val="0"/>
              <w:snapToGrid w:val="0"/>
              <w:jc w:val="center"/>
              <w:rPr>
                <w:rFonts w:ascii="Times New Roman" w:hAnsi="Times New Roman" w:eastAsia="仿宋_GB2312" w:cs="Times New Roman"/>
                <w:bCs/>
                <w:color w:val="000000"/>
                <w:kern w:val="0"/>
                <w:sz w:val="24"/>
                <w:szCs w:val="24"/>
              </w:rPr>
            </w:pPr>
            <w:r>
              <w:rPr>
                <w:rFonts w:ascii="Times New Roman" w:hAnsi="Times New Roman" w:eastAsia="仿宋_GB2312" w:cs="Times New Roman"/>
                <w:bCs/>
                <w:color w:val="000000"/>
                <w:kern w:val="0"/>
                <w:sz w:val="24"/>
                <w:szCs w:val="24"/>
              </w:rPr>
              <w:t>50</w:t>
            </w:r>
          </w:p>
        </w:tc>
        <w:tc>
          <w:tcPr>
            <w:tcW w:w="4148" w:type="dxa"/>
            <w:shd w:val="clear" w:color="auto" w:fill="auto"/>
            <w:vAlign w:val="center"/>
          </w:tcPr>
          <w:p>
            <w:pPr>
              <w:widowControl/>
              <w:snapToGrid w:val="0"/>
              <w:jc w:val="center"/>
              <w:rPr>
                <w:rFonts w:ascii="Times New Roman" w:hAnsi="Times New Roman" w:eastAsia="仿宋_GB2312" w:cs="Times New Roman"/>
                <w:bCs/>
                <w:color w:val="000000"/>
                <w:kern w:val="0"/>
                <w:sz w:val="24"/>
                <w:szCs w:val="24"/>
              </w:rPr>
            </w:pPr>
            <w:r>
              <w:rPr>
                <w:rFonts w:ascii="Times New Roman" w:hAnsi="Times New Roman" w:eastAsia="仿宋_GB2312" w:cs="Times New Roman"/>
                <w:bCs/>
                <w:color w:val="000000"/>
                <w:kern w:val="0"/>
                <w:sz w:val="24"/>
                <w:szCs w:val="24"/>
              </w:rPr>
              <w:t>阿替利珠单抗注射液</w:t>
            </w:r>
            <w:r>
              <w:rPr>
                <w:rFonts w:ascii="Times New Roman" w:hAnsi="Times New Roman" w:eastAsia="仿宋_GB2312" w:cs="Times New Roman"/>
                <w:b/>
                <w:bCs/>
                <w:color w:val="000000"/>
                <w:kern w:val="0"/>
                <w:sz w:val="24"/>
                <w:szCs w:val="24"/>
                <w:vertAlign w:val="superscript"/>
              </w:rPr>
              <w:t>#</w:t>
            </w:r>
          </w:p>
        </w:tc>
        <w:tc>
          <w:tcPr>
            <w:tcW w:w="4682" w:type="dxa"/>
            <w:shd w:val="clear" w:color="auto" w:fill="auto"/>
            <w:vAlign w:val="center"/>
          </w:tcPr>
          <w:p>
            <w:pPr>
              <w:widowControl/>
              <w:snapToGrid w:val="0"/>
              <w:jc w:val="center"/>
              <w:rPr>
                <w:rFonts w:ascii="Times New Roman" w:hAnsi="Times New Roman" w:eastAsia="仿宋_GB2312" w:cs="Times New Roman"/>
                <w:bCs/>
                <w:color w:val="000000"/>
                <w:kern w:val="0"/>
                <w:sz w:val="24"/>
                <w:szCs w:val="24"/>
              </w:rPr>
            </w:pPr>
            <w:r>
              <w:rPr>
                <w:rFonts w:ascii="Times New Roman" w:hAnsi="Times New Roman" w:eastAsia="仿宋_GB2312" w:cs="Times New Roman"/>
                <w:bCs/>
                <w:color w:val="000000"/>
                <w:kern w:val="0"/>
                <w:sz w:val="24"/>
                <w:szCs w:val="24"/>
              </w:rPr>
              <w:t>与贝伐珠单抗联合用于既往未接受过全身系统性治疗的不可切除肝细胞癌</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5" w:hRule="atLeast"/>
          <w:jc w:val="center"/>
        </w:trPr>
        <w:tc>
          <w:tcPr>
            <w:tcW w:w="809" w:type="dxa"/>
            <w:shd w:val="clear" w:color="auto" w:fill="auto"/>
            <w:vAlign w:val="center"/>
          </w:tcPr>
          <w:p>
            <w:pPr>
              <w:widowControl/>
              <w:adjustRightInd w:val="0"/>
              <w:snapToGrid w:val="0"/>
              <w:jc w:val="center"/>
              <w:rPr>
                <w:rFonts w:ascii="Times New Roman" w:hAnsi="Times New Roman" w:eastAsia="仿宋_GB2312" w:cs="Times New Roman"/>
                <w:bCs/>
                <w:color w:val="000000"/>
                <w:kern w:val="0"/>
                <w:sz w:val="24"/>
                <w:szCs w:val="24"/>
              </w:rPr>
            </w:pPr>
            <w:r>
              <w:rPr>
                <w:rFonts w:ascii="Times New Roman" w:hAnsi="Times New Roman" w:eastAsia="仿宋_GB2312" w:cs="Times New Roman"/>
                <w:bCs/>
                <w:color w:val="000000"/>
                <w:kern w:val="0"/>
                <w:sz w:val="24"/>
                <w:szCs w:val="24"/>
              </w:rPr>
              <w:t>51</w:t>
            </w:r>
          </w:p>
        </w:tc>
        <w:tc>
          <w:tcPr>
            <w:tcW w:w="4148" w:type="dxa"/>
            <w:shd w:val="clear" w:color="auto" w:fill="auto"/>
            <w:vAlign w:val="center"/>
          </w:tcPr>
          <w:p>
            <w:pPr>
              <w:widowControl/>
              <w:snapToGrid w:val="0"/>
              <w:jc w:val="center"/>
              <w:rPr>
                <w:rFonts w:ascii="Times New Roman" w:hAnsi="Times New Roman" w:eastAsia="仿宋_GB2312" w:cs="Times New Roman"/>
                <w:bCs/>
                <w:color w:val="000000"/>
                <w:kern w:val="0"/>
                <w:sz w:val="24"/>
                <w:szCs w:val="24"/>
              </w:rPr>
            </w:pPr>
            <w:r>
              <w:rPr>
                <w:rFonts w:ascii="Times New Roman" w:hAnsi="Times New Roman" w:eastAsia="仿宋_GB2312" w:cs="Times New Roman"/>
                <w:bCs/>
                <w:color w:val="000000"/>
                <w:kern w:val="0"/>
                <w:sz w:val="24"/>
                <w:szCs w:val="24"/>
              </w:rPr>
              <w:t>贝伐珠单抗注射液</w:t>
            </w:r>
            <w:r>
              <w:rPr>
                <w:rFonts w:ascii="Times New Roman" w:hAnsi="Times New Roman" w:eastAsia="仿宋_GB2312" w:cs="Times New Roman"/>
                <w:b/>
                <w:bCs/>
                <w:color w:val="000000"/>
                <w:kern w:val="0"/>
                <w:sz w:val="24"/>
                <w:szCs w:val="24"/>
                <w:vertAlign w:val="superscript"/>
              </w:rPr>
              <w:t>#</w:t>
            </w:r>
          </w:p>
        </w:tc>
        <w:tc>
          <w:tcPr>
            <w:tcW w:w="4682" w:type="dxa"/>
            <w:shd w:val="clear" w:color="auto" w:fill="auto"/>
            <w:vAlign w:val="center"/>
          </w:tcPr>
          <w:p>
            <w:pPr>
              <w:widowControl/>
              <w:snapToGrid w:val="0"/>
              <w:jc w:val="center"/>
              <w:rPr>
                <w:rFonts w:ascii="Times New Roman" w:hAnsi="Times New Roman" w:eastAsia="仿宋_GB2312" w:cs="Times New Roman"/>
                <w:bCs/>
                <w:color w:val="000000"/>
                <w:kern w:val="0"/>
                <w:sz w:val="24"/>
                <w:szCs w:val="24"/>
              </w:rPr>
            </w:pPr>
            <w:r>
              <w:rPr>
                <w:rFonts w:ascii="Times New Roman" w:hAnsi="Times New Roman" w:eastAsia="仿宋_GB2312" w:cs="Times New Roman"/>
                <w:bCs/>
                <w:color w:val="000000"/>
                <w:kern w:val="0"/>
                <w:sz w:val="24"/>
                <w:szCs w:val="24"/>
              </w:rPr>
              <w:t>复发性胶质母细胞瘤</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5" w:hRule="atLeast"/>
          <w:jc w:val="center"/>
        </w:trPr>
        <w:tc>
          <w:tcPr>
            <w:tcW w:w="809" w:type="dxa"/>
            <w:shd w:val="clear" w:color="auto" w:fill="auto"/>
            <w:vAlign w:val="center"/>
          </w:tcPr>
          <w:p>
            <w:pPr>
              <w:widowControl/>
              <w:adjustRightInd w:val="0"/>
              <w:snapToGrid w:val="0"/>
              <w:jc w:val="center"/>
              <w:rPr>
                <w:rFonts w:ascii="Times New Roman" w:hAnsi="Times New Roman" w:eastAsia="仿宋_GB2312" w:cs="Times New Roman"/>
                <w:bCs/>
                <w:color w:val="000000"/>
                <w:kern w:val="0"/>
                <w:sz w:val="24"/>
                <w:szCs w:val="24"/>
              </w:rPr>
            </w:pPr>
            <w:r>
              <w:rPr>
                <w:rFonts w:ascii="Times New Roman" w:hAnsi="Times New Roman" w:eastAsia="仿宋_GB2312" w:cs="Times New Roman"/>
                <w:bCs/>
                <w:color w:val="000000"/>
                <w:kern w:val="0"/>
                <w:sz w:val="24"/>
                <w:szCs w:val="24"/>
              </w:rPr>
              <w:t>52</w:t>
            </w:r>
          </w:p>
        </w:tc>
        <w:tc>
          <w:tcPr>
            <w:tcW w:w="4148" w:type="dxa"/>
            <w:shd w:val="clear" w:color="auto" w:fill="auto"/>
            <w:vAlign w:val="center"/>
          </w:tcPr>
          <w:p>
            <w:pPr>
              <w:widowControl/>
              <w:snapToGrid w:val="0"/>
              <w:jc w:val="center"/>
              <w:rPr>
                <w:rFonts w:ascii="Times New Roman" w:hAnsi="Times New Roman" w:eastAsia="仿宋_GB2312" w:cs="Times New Roman"/>
                <w:bCs/>
                <w:color w:val="000000"/>
                <w:kern w:val="0"/>
                <w:sz w:val="24"/>
                <w:szCs w:val="24"/>
              </w:rPr>
            </w:pPr>
            <w:r>
              <w:rPr>
                <w:rFonts w:ascii="Times New Roman" w:hAnsi="Times New Roman" w:eastAsia="仿宋_GB2312" w:cs="Times New Roman"/>
                <w:bCs/>
                <w:color w:val="000000"/>
                <w:kern w:val="0"/>
                <w:sz w:val="24"/>
                <w:szCs w:val="24"/>
              </w:rPr>
              <w:t>布地奈德福莫特罗吸入粉雾剂（</w:t>
            </w:r>
            <w:r>
              <w:rPr>
                <w:rFonts w:hint="eastAsia" w:ascii="宋体" w:hAnsi="宋体" w:eastAsia="宋体" w:cs="宋体"/>
                <w:bCs/>
                <w:color w:val="000000"/>
                <w:kern w:val="0"/>
                <w:sz w:val="24"/>
                <w:szCs w:val="24"/>
              </w:rPr>
              <w:t>Ⅱ</w:t>
            </w:r>
            <w:r>
              <w:rPr>
                <w:rFonts w:ascii="Times New Roman" w:hAnsi="Times New Roman" w:eastAsia="仿宋_GB2312" w:cs="Times New Roman"/>
                <w:bCs/>
                <w:color w:val="000000"/>
                <w:kern w:val="0"/>
                <w:sz w:val="24"/>
                <w:szCs w:val="24"/>
              </w:rPr>
              <w:t>）</w:t>
            </w:r>
            <w:r>
              <w:rPr>
                <w:rFonts w:ascii="Times New Roman" w:hAnsi="Times New Roman" w:eastAsia="仿宋_GB2312" w:cs="Times New Roman"/>
                <w:b/>
                <w:bCs/>
                <w:color w:val="000000"/>
                <w:kern w:val="0"/>
                <w:sz w:val="24"/>
                <w:szCs w:val="24"/>
                <w:vertAlign w:val="superscript"/>
              </w:rPr>
              <w:t>#</w:t>
            </w:r>
          </w:p>
        </w:tc>
        <w:tc>
          <w:tcPr>
            <w:tcW w:w="4682" w:type="dxa"/>
            <w:shd w:val="clear" w:color="auto" w:fill="auto"/>
            <w:vAlign w:val="center"/>
          </w:tcPr>
          <w:p>
            <w:pPr>
              <w:widowControl/>
              <w:snapToGrid w:val="0"/>
              <w:jc w:val="center"/>
              <w:rPr>
                <w:rFonts w:ascii="Times New Roman" w:hAnsi="Times New Roman" w:eastAsia="仿宋_GB2312" w:cs="Times New Roman"/>
                <w:bCs/>
                <w:color w:val="000000"/>
                <w:kern w:val="0"/>
                <w:sz w:val="24"/>
                <w:szCs w:val="24"/>
              </w:rPr>
            </w:pPr>
            <w:r>
              <w:rPr>
                <w:rFonts w:ascii="Times New Roman" w:hAnsi="Times New Roman" w:eastAsia="仿宋_GB2312" w:cs="Times New Roman"/>
                <w:bCs/>
                <w:color w:val="000000"/>
                <w:kern w:val="0"/>
                <w:sz w:val="24"/>
                <w:szCs w:val="24"/>
              </w:rPr>
              <w:t>哮喘</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5" w:hRule="atLeast"/>
          <w:jc w:val="center"/>
        </w:trPr>
        <w:tc>
          <w:tcPr>
            <w:tcW w:w="809" w:type="dxa"/>
            <w:shd w:val="clear" w:color="auto" w:fill="auto"/>
            <w:vAlign w:val="center"/>
          </w:tcPr>
          <w:p>
            <w:pPr>
              <w:widowControl/>
              <w:adjustRightInd w:val="0"/>
              <w:snapToGrid w:val="0"/>
              <w:jc w:val="center"/>
              <w:rPr>
                <w:rFonts w:ascii="Times New Roman" w:hAnsi="Times New Roman" w:eastAsia="仿宋_GB2312" w:cs="Times New Roman"/>
                <w:bCs/>
                <w:color w:val="000000"/>
                <w:kern w:val="0"/>
                <w:sz w:val="24"/>
                <w:szCs w:val="24"/>
              </w:rPr>
            </w:pPr>
            <w:r>
              <w:rPr>
                <w:rFonts w:ascii="Times New Roman" w:hAnsi="Times New Roman" w:eastAsia="仿宋_GB2312" w:cs="Times New Roman"/>
                <w:bCs/>
                <w:color w:val="000000"/>
                <w:kern w:val="0"/>
                <w:sz w:val="24"/>
                <w:szCs w:val="24"/>
              </w:rPr>
              <w:t>53</w:t>
            </w:r>
          </w:p>
        </w:tc>
        <w:tc>
          <w:tcPr>
            <w:tcW w:w="4148" w:type="dxa"/>
            <w:shd w:val="clear" w:color="auto" w:fill="auto"/>
            <w:vAlign w:val="center"/>
          </w:tcPr>
          <w:p>
            <w:pPr>
              <w:widowControl/>
              <w:snapToGrid w:val="0"/>
              <w:jc w:val="center"/>
              <w:rPr>
                <w:rFonts w:ascii="Times New Roman" w:hAnsi="Times New Roman" w:eastAsia="仿宋_GB2312" w:cs="Times New Roman"/>
                <w:bCs/>
                <w:color w:val="000000"/>
                <w:kern w:val="0"/>
                <w:sz w:val="24"/>
                <w:szCs w:val="24"/>
              </w:rPr>
            </w:pPr>
            <w:r>
              <w:rPr>
                <w:rFonts w:ascii="Times New Roman" w:hAnsi="Times New Roman" w:eastAsia="仿宋_GB2312" w:cs="Times New Roman"/>
                <w:bCs/>
                <w:color w:val="000000"/>
                <w:kern w:val="0"/>
                <w:sz w:val="24"/>
                <w:szCs w:val="24"/>
              </w:rPr>
              <w:t>地舒单抗注射液</w:t>
            </w:r>
            <w:r>
              <w:rPr>
                <w:rFonts w:ascii="Times New Roman" w:hAnsi="Times New Roman" w:eastAsia="仿宋_GB2312" w:cs="Times New Roman"/>
                <w:b/>
                <w:bCs/>
                <w:color w:val="000000"/>
                <w:kern w:val="0"/>
                <w:sz w:val="24"/>
                <w:szCs w:val="24"/>
                <w:vertAlign w:val="superscript"/>
              </w:rPr>
              <w:t>#</w:t>
            </w:r>
          </w:p>
        </w:tc>
        <w:tc>
          <w:tcPr>
            <w:tcW w:w="4682" w:type="dxa"/>
            <w:shd w:val="clear" w:color="auto" w:fill="auto"/>
            <w:vAlign w:val="center"/>
          </w:tcPr>
          <w:p>
            <w:pPr>
              <w:widowControl/>
              <w:snapToGrid w:val="0"/>
              <w:jc w:val="center"/>
              <w:rPr>
                <w:rFonts w:ascii="Times New Roman" w:hAnsi="Times New Roman" w:eastAsia="仿宋_GB2312" w:cs="Times New Roman"/>
                <w:bCs/>
                <w:color w:val="000000"/>
                <w:kern w:val="0"/>
                <w:sz w:val="24"/>
                <w:szCs w:val="24"/>
              </w:rPr>
            </w:pPr>
            <w:r>
              <w:rPr>
                <w:rFonts w:ascii="Times New Roman" w:hAnsi="Times New Roman" w:eastAsia="仿宋_GB2312" w:cs="Times New Roman"/>
                <w:bCs/>
                <w:color w:val="000000"/>
                <w:kern w:val="0"/>
                <w:sz w:val="24"/>
                <w:szCs w:val="24"/>
              </w:rPr>
              <w:t>多发性骨髓瘤和实体肿瘤的骨转移</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5" w:hRule="atLeast"/>
          <w:jc w:val="center"/>
        </w:trPr>
        <w:tc>
          <w:tcPr>
            <w:tcW w:w="809" w:type="dxa"/>
            <w:shd w:val="clear" w:color="auto" w:fill="auto"/>
            <w:vAlign w:val="center"/>
          </w:tcPr>
          <w:p>
            <w:pPr>
              <w:widowControl/>
              <w:adjustRightInd w:val="0"/>
              <w:snapToGrid w:val="0"/>
              <w:jc w:val="center"/>
              <w:rPr>
                <w:rFonts w:ascii="Times New Roman" w:hAnsi="Times New Roman" w:eastAsia="仿宋_GB2312" w:cs="Times New Roman"/>
                <w:bCs/>
                <w:color w:val="000000"/>
                <w:kern w:val="0"/>
                <w:sz w:val="24"/>
                <w:szCs w:val="24"/>
              </w:rPr>
            </w:pPr>
            <w:r>
              <w:rPr>
                <w:rFonts w:ascii="Times New Roman" w:hAnsi="Times New Roman" w:eastAsia="仿宋_GB2312" w:cs="Times New Roman"/>
                <w:bCs/>
                <w:color w:val="000000"/>
                <w:kern w:val="0"/>
                <w:sz w:val="24"/>
                <w:szCs w:val="24"/>
              </w:rPr>
              <w:t>54</w:t>
            </w:r>
          </w:p>
        </w:tc>
        <w:tc>
          <w:tcPr>
            <w:tcW w:w="4148" w:type="dxa"/>
            <w:shd w:val="clear" w:color="auto" w:fill="auto"/>
            <w:vAlign w:val="center"/>
          </w:tcPr>
          <w:p>
            <w:pPr>
              <w:widowControl/>
              <w:snapToGrid w:val="0"/>
              <w:jc w:val="center"/>
              <w:rPr>
                <w:rFonts w:ascii="Times New Roman" w:hAnsi="Times New Roman" w:eastAsia="仿宋_GB2312" w:cs="Times New Roman"/>
                <w:bCs/>
                <w:color w:val="000000"/>
                <w:kern w:val="0"/>
                <w:sz w:val="24"/>
                <w:szCs w:val="24"/>
              </w:rPr>
            </w:pPr>
            <w:r>
              <w:rPr>
                <w:rFonts w:ascii="Times New Roman" w:hAnsi="Times New Roman" w:eastAsia="仿宋_GB2312" w:cs="Times New Roman"/>
                <w:bCs/>
                <w:color w:val="000000"/>
                <w:kern w:val="0"/>
                <w:sz w:val="24"/>
                <w:szCs w:val="24"/>
              </w:rPr>
              <w:t>恩扎卢胺软胶囊</w:t>
            </w:r>
            <w:r>
              <w:rPr>
                <w:rFonts w:ascii="Times New Roman" w:hAnsi="Times New Roman" w:eastAsia="仿宋_GB2312" w:cs="Times New Roman"/>
                <w:b/>
                <w:bCs/>
                <w:color w:val="000000"/>
                <w:kern w:val="0"/>
                <w:sz w:val="24"/>
                <w:szCs w:val="24"/>
                <w:vertAlign w:val="superscript"/>
              </w:rPr>
              <w:t>#</w:t>
            </w:r>
          </w:p>
        </w:tc>
        <w:tc>
          <w:tcPr>
            <w:tcW w:w="4682" w:type="dxa"/>
            <w:shd w:val="clear" w:color="auto" w:fill="auto"/>
            <w:vAlign w:val="center"/>
          </w:tcPr>
          <w:p>
            <w:pPr>
              <w:widowControl/>
              <w:snapToGrid w:val="0"/>
              <w:jc w:val="center"/>
              <w:rPr>
                <w:rFonts w:ascii="Times New Roman" w:hAnsi="Times New Roman" w:eastAsia="仿宋_GB2312" w:cs="Times New Roman"/>
                <w:bCs/>
                <w:color w:val="000000"/>
                <w:kern w:val="0"/>
                <w:sz w:val="24"/>
                <w:szCs w:val="24"/>
              </w:rPr>
            </w:pPr>
            <w:r>
              <w:rPr>
                <w:rFonts w:ascii="Times New Roman" w:hAnsi="Times New Roman" w:eastAsia="仿宋_GB2312" w:cs="Times New Roman"/>
                <w:bCs/>
                <w:color w:val="000000"/>
                <w:kern w:val="0"/>
                <w:sz w:val="24"/>
                <w:szCs w:val="24"/>
              </w:rPr>
              <w:t>非转移性去势抵抗性前列腺癌</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5" w:hRule="atLeast"/>
          <w:jc w:val="center"/>
        </w:trPr>
        <w:tc>
          <w:tcPr>
            <w:tcW w:w="809" w:type="dxa"/>
            <w:shd w:val="clear" w:color="auto" w:fill="auto"/>
            <w:vAlign w:val="center"/>
          </w:tcPr>
          <w:p>
            <w:pPr>
              <w:widowControl/>
              <w:adjustRightInd w:val="0"/>
              <w:snapToGrid w:val="0"/>
              <w:jc w:val="center"/>
              <w:rPr>
                <w:rFonts w:ascii="Times New Roman" w:hAnsi="Times New Roman" w:eastAsia="仿宋_GB2312" w:cs="Times New Roman"/>
                <w:bCs/>
                <w:color w:val="000000"/>
                <w:kern w:val="0"/>
                <w:sz w:val="24"/>
                <w:szCs w:val="24"/>
              </w:rPr>
            </w:pPr>
            <w:r>
              <w:rPr>
                <w:rFonts w:ascii="Times New Roman" w:hAnsi="Times New Roman" w:eastAsia="仿宋_GB2312" w:cs="Times New Roman"/>
                <w:bCs/>
                <w:color w:val="000000"/>
                <w:kern w:val="0"/>
                <w:sz w:val="24"/>
                <w:szCs w:val="24"/>
              </w:rPr>
              <w:t>55</w:t>
            </w:r>
          </w:p>
        </w:tc>
        <w:tc>
          <w:tcPr>
            <w:tcW w:w="4148" w:type="dxa"/>
            <w:shd w:val="clear" w:color="auto" w:fill="auto"/>
            <w:vAlign w:val="center"/>
          </w:tcPr>
          <w:p>
            <w:pPr>
              <w:widowControl/>
              <w:snapToGrid w:val="0"/>
              <w:jc w:val="center"/>
              <w:rPr>
                <w:rFonts w:ascii="Times New Roman" w:hAnsi="Times New Roman" w:eastAsia="仿宋_GB2312" w:cs="Times New Roman"/>
                <w:bCs/>
                <w:color w:val="000000"/>
                <w:kern w:val="0"/>
                <w:sz w:val="24"/>
                <w:szCs w:val="24"/>
              </w:rPr>
            </w:pPr>
            <w:r>
              <w:rPr>
                <w:rFonts w:ascii="Times New Roman" w:hAnsi="Times New Roman" w:eastAsia="仿宋_GB2312" w:cs="Times New Roman"/>
                <w:bCs/>
                <w:color w:val="000000"/>
                <w:kern w:val="0"/>
                <w:sz w:val="24"/>
                <w:szCs w:val="24"/>
              </w:rPr>
              <w:t>甲磺酸达拉非尼胶囊</w:t>
            </w:r>
            <w:r>
              <w:rPr>
                <w:rFonts w:ascii="Times New Roman" w:hAnsi="Times New Roman" w:eastAsia="仿宋_GB2312" w:cs="Times New Roman"/>
                <w:b/>
                <w:bCs/>
                <w:color w:val="000000"/>
                <w:kern w:val="0"/>
                <w:sz w:val="24"/>
                <w:szCs w:val="24"/>
                <w:vertAlign w:val="superscript"/>
              </w:rPr>
              <w:t>#</w:t>
            </w:r>
          </w:p>
        </w:tc>
        <w:tc>
          <w:tcPr>
            <w:tcW w:w="4682" w:type="dxa"/>
            <w:shd w:val="clear" w:color="auto" w:fill="auto"/>
            <w:vAlign w:val="center"/>
          </w:tcPr>
          <w:p>
            <w:pPr>
              <w:widowControl/>
              <w:snapToGrid w:val="0"/>
              <w:jc w:val="center"/>
              <w:rPr>
                <w:rFonts w:ascii="Times New Roman" w:hAnsi="Times New Roman" w:eastAsia="仿宋_GB2312" w:cs="Times New Roman"/>
                <w:bCs/>
                <w:color w:val="000000"/>
                <w:kern w:val="0"/>
                <w:sz w:val="24"/>
                <w:szCs w:val="24"/>
              </w:rPr>
            </w:pPr>
            <w:r>
              <w:rPr>
                <w:rFonts w:ascii="Times New Roman" w:hAnsi="Times New Roman" w:eastAsia="仿宋_GB2312" w:cs="Times New Roman"/>
                <w:bCs/>
                <w:color w:val="000000"/>
                <w:kern w:val="0"/>
                <w:sz w:val="24"/>
                <w:szCs w:val="24"/>
              </w:rPr>
              <w:t>与曲美替尼联用于BRAF V600突变的黑色素瘤的辅助治疗</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5" w:hRule="atLeast"/>
          <w:jc w:val="center"/>
        </w:trPr>
        <w:tc>
          <w:tcPr>
            <w:tcW w:w="809" w:type="dxa"/>
            <w:shd w:val="clear" w:color="auto" w:fill="auto"/>
            <w:vAlign w:val="center"/>
          </w:tcPr>
          <w:p>
            <w:pPr>
              <w:widowControl/>
              <w:adjustRightInd w:val="0"/>
              <w:snapToGrid w:val="0"/>
              <w:jc w:val="center"/>
              <w:rPr>
                <w:rFonts w:ascii="Times New Roman" w:hAnsi="Times New Roman" w:eastAsia="仿宋_GB2312" w:cs="Times New Roman"/>
                <w:bCs/>
                <w:color w:val="000000"/>
                <w:kern w:val="0"/>
                <w:sz w:val="24"/>
                <w:szCs w:val="24"/>
              </w:rPr>
            </w:pPr>
            <w:r>
              <w:rPr>
                <w:rFonts w:ascii="Times New Roman" w:hAnsi="Times New Roman" w:eastAsia="仿宋_GB2312" w:cs="Times New Roman"/>
                <w:bCs/>
                <w:color w:val="000000"/>
                <w:kern w:val="0"/>
                <w:sz w:val="24"/>
                <w:szCs w:val="24"/>
              </w:rPr>
              <w:t>56</w:t>
            </w:r>
          </w:p>
        </w:tc>
        <w:tc>
          <w:tcPr>
            <w:tcW w:w="4148" w:type="dxa"/>
            <w:shd w:val="clear" w:color="auto" w:fill="auto"/>
            <w:vAlign w:val="center"/>
          </w:tcPr>
          <w:p>
            <w:pPr>
              <w:widowControl/>
              <w:snapToGrid w:val="0"/>
              <w:jc w:val="center"/>
              <w:rPr>
                <w:rFonts w:ascii="Times New Roman" w:hAnsi="Times New Roman" w:eastAsia="仿宋_GB2312" w:cs="Times New Roman"/>
                <w:bCs/>
                <w:color w:val="000000"/>
                <w:kern w:val="0"/>
                <w:sz w:val="24"/>
                <w:szCs w:val="24"/>
              </w:rPr>
            </w:pPr>
            <w:r>
              <w:rPr>
                <w:rFonts w:ascii="Times New Roman" w:hAnsi="Times New Roman" w:eastAsia="仿宋_GB2312" w:cs="Times New Roman"/>
                <w:bCs/>
                <w:color w:val="000000"/>
                <w:kern w:val="0"/>
                <w:sz w:val="24"/>
                <w:szCs w:val="24"/>
              </w:rPr>
              <w:t>甲磺酸仑伐替尼胶囊</w:t>
            </w:r>
            <w:r>
              <w:rPr>
                <w:rFonts w:ascii="Times New Roman" w:hAnsi="Times New Roman" w:eastAsia="仿宋_GB2312" w:cs="Times New Roman"/>
                <w:b/>
                <w:bCs/>
                <w:color w:val="000000"/>
                <w:kern w:val="0"/>
                <w:sz w:val="24"/>
                <w:szCs w:val="24"/>
                <w:vertAlign w:val="superscript"/>
              </w:rPr>
              <w:t>#</w:t>
            </w:r>
          </w:p>
        </w:tc>
        <w:tc>
          <w:tcPr>
            <w:tcW w:w="4682" w:type="dxa"/>
            <w:shd w:val="clear" w:color="auto" w:fill="auto"/>
            <w:vAlign w:val="center"/>
          </w:tcPr>
          <w:p>
            <w:pPr>
              <w:widowControl/>
              <w:snapToGrid w:val="0"/>
              <w:jc w:val="center"/>
              <w:rPr>
                <w:rFonts w:ascii="Times New Roman" w:hAnsi="Times New Roman" w:eastAsia="仿宋_GB2312" w:cs="Times New Roman"/>
                <w:bCs/>
                <w:color w:val="000000"/>
                <w:kern w:val="0"/>
                <w:sz w:val="24"/>
                <w:szCs w:val="24"/>
              </w:rPr>
            </w:pPr>
            <w:r>
              <w:rPr>
                <w:rFonts w:ascii="Times New Roman" w:hAnsi="Times New Roman" w:eastAsia="仿宋_GB2312" w:cs="Times New Roman"/>
                <w:bCs/>
                <w:color w:val="000000"/>
                <w:kern w:val="0"/>
                <w:sz w:val="24"/>
                <w:szCs w:val="24"/>
              </w:rPr>
              <w:t>进展性、放射性碘难治性、晚期分化型甲状腺癌</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5" w:hRule="atLeast"/>
          <w:jc w:val="center"/>
        </w:trPr>
        <w:tc>
          <w:tcPr>
            <w:tcW w:w="809" w:type="dxa"/>
            <w:shd w:val="clear" w:color="auto" w:fill="auto"/>
            <w:vAlign w:val="center"/>
          </w:tcPr>
          <w:p>
            <w:pPr>
              <w:widowControl/>
              <w:adjustRightInd w:val="0"/>
              <w:snapToGrid w:val="0"/>
              <w:jc w:val="center"/>
              <w:rPr>
                <w:rFonts w:ascii="Times New Roman" w:hAnsi="Times New Roman" w:eastAsia="仿宋_GB2312" w:cs="Times New Roman"/>
                <w:bCs/>
                <w:color w:val="000000"/>
                <w:kern w:val="0"/>
                <w:sz w:val="24"/>
                <w:szCs w:val="24"/>
              </w:rPr>
            </w:pPr>
            <w:r>
              <w:rPr>
                <w:rFonts w:ascii="Times New Roman" w:hAnsi="Times New Roman" w:eastAsia="仿宋_GB2312" w:cs="Times New Roman"/>
                <w:bCs/>
                <w:color w:val="000000"/>
                <w:kern w:val="0"/>
                <w:sz w:val="24"/>
                <w:szCs w:val="24"/>
              </w:rPr>
              <w:t>57</w:t>
            </w:r>
          </w:p>
        </w:tc>
        <w:tc>
          <w:tcPr>
            <w:tcW w:w="4148" w:type="dxa"/>
            <w:shd w:val="clear" w:color="auto" w:fill="auto"/>
            <w:vAlign w:val="center"/>
          </w:tcPr>
          <w:p>
            <w:pPr>
              <w:widowControl/>
              <w:snapToGrid w:val="0"/>
              <w:jc w:val="center"/>
              <w:rPr>
                <w:rFonts w:ascii="Times New Roman" w:hAnsi="Times New Roman" w:eastAsia="仿宋_GB2312" w:cs="Times New Roman"/>
                <w:bCs/>
                <w:color w:val="000000"/>
                <w:kern w:val="0"/>
                <w:sz w:val="24"/>
                <w:szCs w:val="24"/>
              </w:rPr>
            </w:pPr>
            <w:r>
              <w:rPr>
                <w:rFonts w:ascii="Times New Roman" w:hAnsi="Times New Roman" w:eastAsia="仿宋_GB2312" w:cs="Times New Roman"/>
                <w:bCs/>
                <w:color w:val="000000"/>
                <w:kern w:val="0"/>
                <w:sz w:val="24"/>
                <w:szCs w:val="24"/>
              </w:rPr>
              <w:t>来那度胺胶囊</w:t>
            </w:r>
            <w:r>
              <w:rPr>
                <w:rFonts w:ascii="Times New Roman" w:hAnsi="Times New Roman" w:eastAsia="仿宋_GB2312" w:cs="Times New Roman"/>
                <w:b/>
                <w:bCs/>
                <w:color w:val="000000"/>
                <w:kern w:val="0"/>
                <w:sz w:val="24"/>
                <w:szCs w:val="24"/>
                <w:vertAlign w:val="superscript"/>
              </w:rPr>
              <w:t>#</w:t>
            </w:r>
          </w:p>
        </w:tc>
        <w:tc>
          <w:tcPr>
            <w:tcW w:w="4682" w:type="dxa"/>
            <w:shd w:val="clear" w:color="auto" w:fill="auto"/>
            <w:vAlign w:val="center"/>
          </w:tcPr>
          <w:p>
            <w:pPr>
              <w:widowControl/>
              <w:snapToGrid w:val="0"/>
              <w:jc w:val="center"/>
              <w:rPr>
                <w:rFonts w:ascii="Times New Roman" w:hAnsi="Times New Roman" w:eastAsia="仿宋_GB2312" w:cs="Times New Roman"/>
                <w:bCs/>
                <w:color w:val="000000"/>
                <w:kern w:val="0"/>
                <w:sz w:val="24"/>
                <w:szCs w:val="24"/>
              </w:rPr>
            </w:pPr>
            <w:r>
              <w:rPr>
                <w:rFonts w:ascii="Times New Roman" w:hAnsi="Times New Roman" w:eastAsia="仿宋_GB2312" w:cs="Times New Roman"/>
                <w:bCs/>
                <w:color w:val="000000"/>
                <w:kern w:val="0"/>
                <w:sz w:val="24"/>
                <w:szCs w:val="24"/>
              </w:rPr>
              <w:t>联合利妥昔单抗用于经治的滤泡性淋巴瘤</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5" w:hRule="atLeast"/>
          <w:jc w:val="center"/>
        </w:trPr>
        <w:tc>
          <w:tcPr>
            <w:tcW w:w="809" w:type="dxa"/>
            <w:shd w:val="clear" w:color="auto" w:fill="auto"/>
            <w:vAlign w:val="center"/>
          </w:tcPr>
          <w:p>
            <w:pPr>
              <w:widowControl/>
              <w:adjustRightInd w:val="0"/>
              <w:snapToGrid w:val="0"/>
              <w:jc w:val="center"/>
              <w:rPr>
                <w:rFonts w:ascii="Times New Roman" w:hAnsi="Times New Roman" w:eastAsia="仿宋_GB2312" w:cs="Times New Roman"/>
                <w:bCs/>
                <w:color w:val="000000"/>
                <w:kern w:val="0"/>
                <w:sz w:val="24"/>
                <w:szCs w:val="24"/>
              </w:rPr>
            </w:pPr>
            <w:r>
              <w:rPr>
                <w:rFonts w:ascii="Times New Roman" w:hAnsi="Times New Roman" w:eastAsia="仿宋_GB2312" w:cs="Times New Roman"/>
                <w:bCs/>
                <w:color w:val="000000"/>
                <w:kern w:val="0"/>
                <w:sz w:val="24"/>
                <w:szCs w:val="24"/>
              </w:rPr>
              <w:t>58</w:t>
            </w:r>
          </w:p>
        </w:tc>
        <w:tc>
          <w:tcPr>
            <w:tcW w:w="4148" w:type="dxa"/>
            <w:shd w:val="clear" w:color="auto" w:fill="auto"/>
            <w:vAlign w:val="center"/>
          </w:tcPr>
          <w:p>
            <w:pPr>
              <w:widowControl/>
              <w:snapToGrid w:val="0"/>
              <w:jc w:val="center"/>
              <w:rPr>
                <w:rFonts w:ascii="Times New Roman" w:hAnsi="Times New Roman" w:eastAsia="仿宋_GB2312" w:cs="Times New Roman"/>
                <w:bCs/>
                <w:color w:val="000000"/>
                <w:kern w:val="0"/>
                <w:sz w:val="24"/>
                <w:szCs w:val="24"/>
              </w:rPr>
            </w:pPr>
            <w:r>
              <w:rPr>
                <w:rFonts w:ascii="Times New Roman" w:hAnsi="Times New Roman" w:eastAsia="仿宋_GB2312" w:cs="Times New Roman"/>
                <w:bCs/>
                <w:color w:val="000000"/>
                <w:kern w:val="0"/>
                <w:sz w:val="24"/>
                <w:szCs w:val="24"/>
              </w:rPr>
              <w:t>利拉鲁肽注射液</w:t>
            </w:r>
            <w:r>
              <w:rPr>
                <w:rFonts w:ascii="Times New Roman" w:hAnsi="Times New Roman" w:eastAsia="仿宋_GB2312" w:cs="Times New Roman"/>
                <w:b/>
                <w:bCs/>
                <w:color w:val="000000"/>
                <w:kern w:val="0"/>
                <w:sz w:val="24"/>
                <w:szCs w:val="24"/>
                <w:vertAlign w:val="superscript"/>
              </w:rPr>
              <w:t>#</w:t>
            </w:r>
          </w:p>
        </w:tc>
        <w:tc>
          <w:tcPr>
            <w:tcW w:w="4682" w:type="dxa"/>
            <w:shd w:val="clear" w:color="auto" w:fill="auto"/>
            <w:vAlign w:val="center"/>
          </w:tcPr>
          <w:p>
            <w:pPr>
              <w:widowControl/>
              <w:snapToGrid w:val="0"/>
              <w:jc w:val="center"/>
              <w:rPr>
                <w:rFonts w:ascii="Times New Roman" w:hAnsi="Times New Roman" w:eastAsia="仿宋_GB2312" w:cs="Times New Roman"/>
                <w:bCs/>
                <w:color w:val="000000"/>
                <w:kern w:val="0"/>
                <w:sz w:val="24"/>
                <w:szCs w:val="24"/>
              </w:rPr>
            </w:pPr>
            <w:r>
              <w:rPr>
                <w:rFonts w:ascii="Times New Roman" w:hAnsi="Times New Roman" w:eastAsia="仿宋_GB2312" w:cs="Times New Roman"/>
                <w:bCs/>
                <w:color w:val="000000"/>
                <w:kern w:val="0"/>
                <w:sz w:val="24"/>
                <w:szCs w:val="24"/>
              </w:rPr>
              <w:t>用于伴有心血管疾病的2型糖尿病成人患者</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5" w:hRule="atLeast"/>
          <w:jc w:val="center"/>
        </w:trPr>
        <w:tc>
          <w:tcPr>
            <w:tcW w:w="809" w:type="dxa"/>
            <w:shd w:val="clear" w:color="auto" w:fill="auto"/>
            <w:vAlign w:val="center"/>
          </w:tcPr>
          <w:p>
            <w:pPr>
              <w:widowControl/>
              <w:adjustRightInd w:val="0"/>
              <w:snapToGrid w:val="0"/>
              <w:jc w:val="center"/>
              <w:rPr>
                <w:rFonts w:ascii="Times New Roman" w:hAnsi="Times New Roman" w:eastAsia="仿宋_GB2312" w:cs="Times New Roman"/>
                <w:bCs/>
                <w:color w:val="000000"/>
                <w:kern w:val="0"/>
                <w:sz w:val="24"/>
                <w:szCs w:val="24"/>
              </w:rPr>
            </w:pPr>
            <w:r>
              <w:rPr>
                <w:rFonts w:ascii="Times New Roman" w:hAnsi="Times New Roman" w:eastAsia="仿宋_GB2312" w:cs="Times New Roman"/>
                <w:bCs/>
                <w:color w:val="000000"/>
                <w:kern w:val="0"/>
                <w:sz w:val="24"/>
                <w:szCs w:val="24"/>
              </w:rPr>
              <w:t>59</w:t>
            </w:r>
          </w:p>
        </w:tc>
        <w:tc>
          <w:tcPr>
            <w:tcW w:w="4148" w:type="dxa"/>
            <w:shd w:val="clear" w:color="auto" w:fill="auto"/>
            <w:vAlign w:val="center"/>
          </w:tcPr>
          <w:p>
            <w:pPr>
              <w:widowControl/>
              <w:snapToGrid w:val="0"/>
              <w:jc w:val="center"/>
              <w:rPr>
                <w:rFonts w:ascii="Times New Roman" w:hAnsi="Times New Roman" w:eastAsia="仿宋_GB2312" w:cs="Times New Roman"/>
                <w:bCs/>
                <w:color w:val="000000"/>
                <w:kern w:val="0"/>
                <w:sz w:val="24"/>
                <w:szCs w:val="24"/>
              </w:rPr>
            </w:pPr>
            <w:r>
              <w:rPr>
                <w:rFonts w:ascii="Times New Roman" w:hAnsi="Times New Roman" w:eastAsia="仿宋_GB2312" w:cs="Times New Roman"/>
                <w:bCs/>
                <w:color w:val="000000"/>
                <w:kern w:val="0"/>
                <w:sz w:val="24"/>
                <w:szCs w:val="24"/>
              </w:rPr>
              <w:t>纳武利尤单抗注射液</w:t>
            </w:r>
            <w:r>
              <w:rPr>
                <w:rFonts w:ascii="Times New Roman" w:hAnsi="Times New Roman" w:eastAsia="仿宋_GB2312" w:cs="Times New Roman"/>
                <w:b/>
                <w:bCs/>
                <w:color w:val="000000"/>
                <w:kern w:val="0"/>
                <w:sz w:val="24"/>
                <w:szCs w:val="24"/>
                <w:vertAlign w:val="superscript"/>
              </w:rPr>
              <w:t>#</w:t>
            </w:r>
          </w:p>
        </w:tc>
        <w:tc>
          <w:tcPr>
            <w:tcW w:w="4682" w:type="dxa"/>
            <w:shd w:val="clear" w:color="auto" w:fill="auto"/>
            <w:vAlign w:val="center"/>
          </w:tcPr>
          <w:p>
            <w:pPr>
              <w:widowControl/>
              <w:snapToGrid w:val="0"/>
              <w:jc w:val="center"/>
              <w:rPr>
                <w:rFonts w:ascii="Times New Roman" w:hAnsi="Times New Roman" w:eastAsia="仿宋_GB2312" w:cs="Times New Roman"/>
                <w:bCs/>
                <w:color w:val="000000"/>
                <w:kern w:val="0"/>
                <w:sz w:val="24"/>
                <w:szCs w:val="24"/>
              </w:rPr>
            </w:pPr>
            <w:r>
              <w:rPr>
                <w:rFonts w:ascii="Times New Roman" w:hAnsi="Times New Roman" w:eastAsia="仿宋_GB2312" w:cs="Times New Roman"/>
                <w:bCs/>
                <w:color w:val="000000"/>
                <w:kern w:val="0"/>
                <w:sz w:val="24"/>
                <w:szCs w:val="24"/>
              </w:rPr>
              <w:t>既往接受过两种或两种以上全身性治疗的晚期胃或胃食管连接部腺癌</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5" w:hRule="atLeast"/>
          <w:jc w:val="center"/>
        </w:trPr>
        <w:tc>
          <w:tcPr>
            <w:tcW w:w="809" w:type="dxa"/>
            <w:shd w:val="clear" w:color="auto" w:fill="auto"/>
            <w:vAlign w:val="center"/>
          </w:tcPr>
          <w:p>
            <w:pPr>
              <w:widowControl/>
              <w:adjustRightInd w:val="0"/>
              <w:snapToGrid w:val="0"/>
              <w:jc w:val="center"/>
              <w:rPr>
                <w:rFonts w:ascii="Times New Roman" w:hAnsi="Times New Roman" w:eastAsia="仿宋_GB2312" w:cs="Times New Roman"/>
                <w:bCs/>
                <w:color w:val="000000"/>
                <w:kern w:val="0"/>
                <w:sz w:val="24"/>
                <w:szCs w:val="24"/>
              </w:rPr>
            </w:pPr>
            <w:r>
              <w:rPr>
                <w:rFonts w:ascii="Times New Roman" w:hAnsi="Times New Roman" w:eastAsia="仿宋_GB2312" w:cs="Times New Roman"/>
                <w:bCs/>
                <w:color w:val="000000"/>
                <w:kern w:val="0"/>
                <w:sz w:val="24"/>
                <w:szCs w:val="24"/>
              </w:rPr>
              <w:t>60</w:t>
            </w:r>
          </w:p>
        </w:tc>
        <w:tc>
          <w:tcPr>
            <w:tcW w:w="4148" w:type="dxa"/>
            <w:shd w:val="clear" w:color="auto" w:fill="auto"/>
            <w:vAlign w:val="center"/>
          </w:tcPr>
          <w:p>
            <w:pPr>
              <w:widowControl/>
              <w:snapToGrid w:val="0"/>
              <w:jc w:val="center"/>
              <w:rPr>
                <w:rFonts w:ascii="Times New Roman" w:hAnsi="Times New Roman" w:eastAsia="仿宋_GB2312" w:cs="Times New Roman"/>
                <w:bCs/>
                <w:color w:val="000000"/>
                <w:kern w:val="0"/>
                <w:sz w:val="24"/>
                <w:szCs w:val="24"/>
              </w:rPr>
            </w:pPr>
            <w:r>
              <w:rPr>
                <w:rFonts w:ascii="Times New Roman" w:hAnsi="Times New Roman" w:eastAsia="仿宋_GB2312" w:cs="Times New Roman"/>
                <w:bCs/>
                <w:color w:val="000000"/>
                <w:kern w:val="0"/>
                <w:sz w:val="24"/>
                <w:szCs w:val="24"/>
              </w:rPr>
              <w:t>帕博利珠单抗注射液</w:t>
            </w:r>
            <w:r>
              <w:rPr>
                <w:rFonts w:ascii="Times New Roman" w:hAnsi="Times New Roman" w:eastAsia="仿宋_GB2312" w:cs="Times New Roman"/>
                <w:b/>
                <w:bCs/>
                <w:color w:val="000000"/>
                <w:kern w:val="0"/>
                <w:sz w:val="24"/>
                <w:szCs w:val="24"/>
                <w:vertAlign w:val="superscript"/>
              </w:rPr>
              <w:t>#</w:t>
            </w:r>
          </w:p>
        </w:tc>
        <w:tc>
          <w:tcPr>
            <w:tcW w:w="4682" w:type="dxa"/>
            <w:shd w:val="clear" w:color="auto" w:fill="auto"/>
            <w:vAlign w:val="center"/>
          </w:tcPr>
          <w:p>
            <w:pPr>
              <w:widowControl/>
              <w:snapToGrid w:val="0"/>
              <w:jc w:val="center"/>
              <w:rPr>
                <w:rFonts w:ascii="Times New Roman" w:hAnsi="Times New Roman" w:eastAsia="仿宋_GB2312" w:cs="Times New Roman"/>
                <w:bCs/>
                <w:color w:val="000000"/>
                <w:kern w:val="0"/>
                <w:sz w:val="24"/>
                <w:szCs w:val="24"/>
              </w:rPr>
            </w:pPr>
            <w:r>
              <w:rPr>
                <w:rFonts w:ascii="Times New Roman" w:hAnsi="Times New Roman" w:eastAsia="仿宋_GB2312" w:cs="Times New Roman"/>
                <w:bCs/>
                <w:color w:val="000000"/>
                <w:kern w:val="0"/>
                <w:sz w:val="24"/>
                <w:szCs w:val="24"/>
              </w:rPr>
              <w:t>局部晚期或转移性食管鳞状细胞癌的二线治疗；既往未接受过全身系统性治疗的转移性或不可切除的复发性头颈部鳞状细胞癌</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5" w:hRule="atLeast"/>
          <w:jc w:val="center"/>
        </w:trPr>
        <w:tc>
          <w:tcPr>
            <w:tcW w:w="809" w:type="dxa"/>
            <w:shd w:val="clear" w:color="auto" w:fill="auto"/>
            <w:vAlign w:val="center"/>
          </w:tcPr>
          <w:p>
            <w:pPr>
              <w:widowControl/>
              <w:adjustRightInd w:val="0"/>
              <w:snapToGrid w:val="0"/>
              <w:jc w:val="center"/>
              <w:rPr>
                <w:rFonts w:ascii="Times New Roman" w:hAnsi="Times New Roman" w:eastAsia="仿宋_GB2312" w:cs="Times New Roman"/>
                <w:bCs/>
                <w:color w:val="000000"/>
                <w:kern w:val="0"/>
                <w:sz w:val="24"/>
                <w:szCs w:val="24"/>
              </w:rPr>
            </w:pPr>
            <w:r>
              <w:rPr>
                <w:rFonts w:ascii="Times New Roman" w:hAnsi="Times New Roman" w:eastAsia="仿宋_GB2312" w:cs="Times New Roman"/>
                <w:bCs/>
                <w:color w:val="000000"/>
                <w:kern w:val="0"/>
                <w:sz w:val="24"/>
                <w:szCs w:val="24"/>
              </w:rPr>
              <w:t>61</w:t>
            </w:r>
          </w:p>
        </w:tc>
        <w:tc>
          <w:tcPr>
            <w:tcW w:w="4148" w:type="dxa"/>
            <w:shd w:val="clear" w:color="auto" w:fill="auto"/>
            <w:vAlign w:val="center"/>
          </w:tcPr>
          <w:p>
            <w:pPr>
              <w:widowControl/>
              <w:snapToGrid w:val="0"/>
              <w:jc w:val="center"/>
              <w:rPr>
                <w:rFonts w:ascii="Times New Roman" w:hAnsi="Times New Roman" w:eastAsia="仿宋_GB2312" w:cs="Times New Roman"/>
                <w:bCs/>
                <w:color w:val="000000"/>
                <w:kern w:val="0"/>
                <w:sz w:val="24"/>
                <w:szCs w:val="24"/>
              </w:rPr>
            </w:pPr>
            <w:r>
              <w:rPr>
                <w:rFonts w:ascii="Times New Roman" w:hAnsi="Times New Roman" w:eastAsia="仿宋_GB2312" w:cs="Times New Roman"/>
                <w:bCs/>
                <w:color w:val="000000"/>
                <w:kern w:val="0"/>
                <w:sz w:val="24"/>
                <w:szCs w:val="24"/>
              </w:rPr>
              <w:t>普乐沙福注射液</w:t>
            </w:r>
            <w:r>
              <w:rPr>
                <w:rFonts w:ascii="Times New Roman" w:hAnsi="Times New Roman" w:eastAsia="仿宋_GB2312" w:cs="Times New Roman"/>
                <w:b/>
                <w:bCs/>
                <w:color w:val="000000"/>
                <w:kern w:val="0"/>
                <w:sz w:val="24"/>
                <w:szCs w:val="24"/>
                <w:vertAlign w:val="superscript"/>
              </w:rPr>
              <w:t>#</w:t>
            </w:r>
          </w:p>
        </w:tc>
        <w:tc>
          <w:tcPr>
            <w:tcW w:w="4682" w:type="dxa"/>
            <w:shd w:val="clear" w:color="auto" w:fill="auto"/>
            <w:vAlign w:val="center"/>
          </w:tcPr>
          <w:p>
            <w:pPr>
              <w:widowControl/>
              <w:snapToGrid w:val="0"/>
              <w:jc w:val="center"/>
              <w:rPr>
                <w:rFonts w:ascii="Times New Roman" w:hAnsi="Times New Roman" w:eastAsia="仿宋_GB2312" w:cs="Times New Roman"/>
                <w:bCs/>
                <w:color w:val="000000"/>
                <w:kern w:val="0"/>
                <w:sz w:val="24"/>
                <w:szCs w:val="24"/>
              </w:rPr>
            </w:pPr>
            <w:r>
              <w:rPr>
                <w:rFonts w:ascii="Times New Roman" w:hAnsi="Times New Roman" w:eastAsia="仿宋_GB2312" w:cs="Times New Roman"/>
                <w:bCs/>
                <w:color w:val="000000"/>
                <w:kern w:val="0"/>
                <w:sz w:val="24"/>
                <w:szCs w:val="24"/>
              </w:rPr>
              <w:t>与粒细胞集落刺激因子联合用于多发性骨髓瘤患者自体移植前的造血干细胞动员</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5" w:hRule="atLeast"/>
          <w:jc w:val="center"/>
        </w:trPr>
        <w:tc>
          <w:tcPr>
            <w:tcW w:w="809" w:type="dxa"/>
            <w:shd w:val="clear" w:color="auto" w:fill="auto"/>
            <w:vAlign w:val="center"/>
          </w:tcPr>
          <w:p>
            <w:pPr>
              <w:widowControl/>
              <w:adjustRightInd w:val="0"/>
              <w:snapToGrid w:val="0"/>
              <w:jc w:val="center"/>
              <w:rPr>
                <w:rFonts w:ascii="Times New Roman" w:hAnsi="Times New Roman" w:eastAsia="仿宋_GB2312" w:cs="Times New Roman"/>
                <w:bCs/>
                <w:color w:val="000000"/>
                <w:kern w:val="0"/>
                <w:sz w:val="24"/>
                <w:szCs w:val="24"/>
              </w:rPr>
            </w:pPr>
            <w:r>
              <w:rPr>
                <w:rFonts w:ascii="Times New Roman" w:hAnsi="Times New Roman" w:eastAsia="仿宋_GB2312" w:cs="Times New Roman"/>
                <w:bCs/>
                <w:color w:val="000000"/>
                <w:kern w:val="0"/>
                <w:sz w:val="24"/>
                <w:szCs w:val="24"/>
              </w:rPr>
              <w:t>62</w:t>
            </w:r>
          </w:p>
        </w:tc>
        <w:tc>
          <w:tcPr>
            <w:tcW w:w="4148" w:type="dxa"/>
            <w:shd w:val="clear" w:color="auto" w:fill="auto"/>
            <w:vAlign w:val="center"/>
          </w:tcPr>
          <w:p>
            <w:pPr>
              <w:widowControl/>
              <w:snapToGrid w:val="0"/>
              <w:jc w:val="center"/>
              <w:rPr>
                <w:rFonts w:ascii="Times New Roman" w:hAnsi="Times New Roman" w:eastAsia="仿宋_GB2312" w:cs="Times New Roman"/>
                <w:bCs/>
                <w:color w:val="000000"/>
                <w:kern w:val="0"/>
                <w:sz w:val="24"/>
                <w:szCs w:val="24"/>
              </w:rPr>
            </w:pPr>
            <w:r>
              <w:rPr>
                <w:rFonts w:ascii="Times New Roman" w:hAnsi="Times New Roman" w:eastAsia="仿宋_GB2312" w:cs="Times New Roman"/>
                <w:bCs/>
                <w:color w:val="000000"/>
                <w:kern w:val="0"/>
                <w:sz w:val="24"/>
                <w:szCs w:val="24"/>
              </w:rPr>
              <w:t>曲美替尼片</w:t>
            </w:r>
            <w:r>
              <w:rPr>
                <w:rFonts w:ascii="Times New Roman" w:hAnsi="Times New Roman" w:eastAsia="仿宋_GB2312" w:cs="Times New Roman"/>
                <w:b/>
                <w:bCs/>
                <w:color w:val="000000"/>
                <w:kern w:val="0"/>
                <w:sz w:val="24"/>
                <w:szCs w:val="24"/>
                <w:vertAlign w:val="superscript"/>
              </w:rPr>
              <w:t>#</w:t>
            </w:r>
          </w:p>
        </w:tc>
        <w:tc>
          <w:tcPr>
            <w:tcW w:w="4682" w:type="dxa"/>
            <w:shd w:val="clear" w:color="auto" w:fill="auto"/>
            <w:vAlign w:val="center"/>
          </w:tcPr>
          <w:p>
            <w:pPr>
              <w:widowControl/>
              <w:snapToGrid w:val="0"/>
              <w:jc w:val="center"/>
              <w:rPr>
                <w:rFonts w:ascii="Times New Roman" w:hAnsi="Times New Roman" w:eastAsia="仿宋_GB2312" w:cs="Times New Roman"/>
                <w:bCs/>
                <w:color w:val="000000"/>
                <w:kern w:val="0"/>
                <w:sz w:val="24"/>
                <w:szCs w:val="24"/>
              </w:rPr>
            </w:pPr>
            <w:r>
              <w:rPr>
                <w:rFonts w:ascii="Times New Roman" w:hAnsi="Times New Roman" w:eastAsia="仿宋_GB2312" w:cs="Times New Roman"/>
                <w:bCs/>
                <w:color w:val="000000"/>
                <w:kern w:val="0"/>
                <w:sz w:val="24"/>
                <w:szCs w:val="24"/>
              </w:rPr>
              <w:t>与甲磺酸达拉非尼联用于BRAF V600突变的黑色素瘤的辅助治疗</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5" w:hRule="atLeast"/>
          <w:jc w:val="center"/>
        </w:trPr>
        <w:tc>
          <w:tcPr>
            <w:tcW w:w="809" w:type="dxa"/>
            <w:shd w:val="clear" w:color="auto" w:fill="auto"/>
            <w:vAlign w:val="center"/>
          </w:tcPr>
          <w:p>
            <w:pPr>
              <w:widowControl/>
              <w:adjustRightInd w:val="0"/>
              <w:snapToGrid w:val="0"/>
              <w:jc w:val="center"/>
              <w:rPr>
                <w:rFonts w:ascii="Times New Roman" w:hAnsi="Times New Roman" w:eastAsia="仿宋_GB2312" w:cs="Times New Roman"/>
                <w:bCs/>
                <w:color w:val="000000"/>
                <w:kern w:val="0"/>
                <w:sz w:val="24"/>
                <w:szCs w:val="24"/>
              </w:rPr>
            </w:pPr>
            <w:r>
              <w:rPr>
                <w:rFonts w:ascii="Times New Roman" w:hAnsi="Times New Roman" w:eastAsia="仿宋_GB2312" w:cs="Times New Roman"/>
                <w:bCs/>
                <w:color w:val="000000"/>
                <w:kern w:val="0"/>
                <w:sz w:val="24"/>
                <w:szCs w:val="24"/>
              </w:rPr>
              <w:t>63</w:t>
            </w:r>
          </w:p>
        </w:tc>
        <w:tc>
          <w:tcPr>
            <w:tcW w:w="4148" w:type="dxa"/>
            <w:shd w:val="clear" w:color="auto" w:fill="auto"/>
            <w:vAlign w:val="center"/>
          </w:tcPr>
          <w:p>
            <w:pPr>
              <w:widowControl/>
              <w:snapToGrid w:val="0"/>
              <w:jc w:val="center"/>
              <w:rPr>
                <w:rFonts w:ascii="Times New Roman" w:hAnsi="Times New Roman" w:eastAsia="仿宋_GB2312" w:cs="Times New Roman"/>
                <w:bCs/>
                <w:color w:val="000000"/>
                <w:kern w:val="0"/>
                <w:sz w:val="24"/>
                <w:szCs w:val="24"/>
              </w:rPr>
            </w:pPr>
            <w:r>
              <w:rPr>
                <w:rFonts w:ascii="Times New Roman" w:hAnsi="Times New Roman" w:eastAsia="仿宋_GB2312" w:cs="Times New Roman"/>
                <w:bCs/>
                <w:color w:val="000000"/>
                <w:kern w:val="0"/>
                <w:sz w:val="24"/>
                <w:szCs w:val="24"/>
              </w:rPr>
              <w:t>塞瑞替尼胶囊</w:t>
            </w:r>
            <w:r>
              <w:rPr>
                <w:rFonts w:ascii="Times New Roman" w:hAnsi="Times New Roman" w:eastAsia="仿宋_GB2312" w:cs="Times New Roman"/>
                <w:b/>
                <w:bCs/>
                <w:color w:val="000000"/>
                <w:kern w:val="0"/>
                <w:sz w:val="24"/>
                <w:szCs w:val="24"/>
                <w:vertAlign w:val="superscript"/>
              </w:rPr>
              <w:t>#</w:t>
            </w:r>
          </w:p>
        </w:tc>
        <w:tc>
          <w:tcPr>
            <w:tcW w:w="4682" w:type="dxa"/>
            <w:shd w:val="clear" w:color="auto" w:fill="auto"/>
            <w:vAlign w:val="center"/>
          </w:tcPr>
          <w:p>
            <w:pPr>
              <w:widowControl/>
              <w:snapToGrid w:val="0"/>
              <w:jc w:val="center"/>
              <w:rPr>
                <w:rFonts w:ascii="Times New Roman" w:hAnsi="Times New Roman" w:eastAsia="仿宋_GB2312" w:cs="Times New Roman"/>
                <w:bCs/>
                <w:color w:val="000000"/>
                <w:kern w:val="0"/>
                <w:sz w:val="24"/>
                <w:szCs w:val="24"/>
              </w:rPr>
            </w:pPr>
            <w:r>
              <w:rPr>
                <w:rFonts w:ascii="Times New Roman" w:hAnsi="Times New Roman" w:eastAsia="仿宋_GB2312" w:cs="Times New Roman"/>
                <w:bCs/>
                <w:color w:val="000000"/>
                <w:kern w:val="0"/>
                <w:sz w:val="24"/>
                <w:szCs w:val="24"/>
              </w:rPr>
              <w:t>间变性淋巴瘤激酶阳性的晚期非小细胞肺癌</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5" w:hRule="atLeast"/>
          <w:jc w:val="center"/>
        </w:trPr>
        <w:tc>
          <w:tcPr>
            <w:tcW w:w="809" w:type="dxa"/>
            <w:shd w:val="clear" w:color="auto" w:fill="auto"/>
            <w:vAlign w:val="center"/>
          </w:tcPr>
          <w:p>
            <w:pPr>
              <w:widowControl/>
              <w:adjustRightInd w:val="0"/>
              <w:snapToGrid w:val="0"/>
              <w:jc w:val="center"/>
              <w:rPr>
                <w:rFonts w:ascii="Times New Roman" w:hAnsi="Times New Roman" w:eastAsia="仿宋_GB2312" w:cs="Times New Roman"/>
                <w:bCs/>
                <w:color w:val="000000"/>
                <w:kern w:val="0"/>
                <w:sz w:val="24"/>
                <w:szCs w:val="24"/>
              </w:rPr>
            </w:pPr>
            <w:r>
              <w:rPr>
                <w:rFonts w:ascii="Times New Roman" w:hAnsi="Times New Roman" w:eastAsia="仿宋_GB2312" w:cs="Times New Roman"/>
                <w:bCs/>
                <w:color w:val="000000"/>
                <w:kern w:val="0"/>
                <w:sz w:val="24"/>
                <w:szCs w:val="24"/>
              </w:rPr>
              <w:t>64</w:t>
            </w:r>
          </w:p>
        </w:tc>
        <w:tc>
          <w:tcPr>
            <w:tcW w:w="4148" w:type="dxa"/>
            <w:shd w:val="clear" w:color="auto" w:fill="auto"/>
            <w:vAlign w:val="center"/>
          </w:tcPr>
          <w:p>
            <w:pPr>
              <w:widowControl/>
              <w:snapToGrid w:val="0"/>
              <w:jc w:val="center"/>
              <w:rPr>
                <w:rFonts w:ascii="Times New Roman" w:hAnsi="Times New Roman" w:eastAsia="仿宋_GB2312" w:cs="Times New Roman"/>
                <w:bCs/>
                <w:color w:val="000000"/>
                <w:kern w:val="0"/>
                <w:sz w:val="24"/>
                <w:szCs w:val="24"/>
              </w:rPr>
            </w:pPr>
            <w:r>
              <w:rPr>
                <w:rFonts w:ascii="Times New Roman" w:hAnsi="Times New Roman" w:eastAsia="仿宋_GB2312" w:cs="Times New Roman"/>
                <w:bCs/>
                <w:color w:val="000000"/>
                <w:kern w:val="0"/>
                <w:sz w:val="24"/>
                <w:szCs w:val="24"/>
              </w:rPr>
              <w:t>司库奇尤单抗注射液</w:t>
            </w:r>
            <w:r>
              <w:rPr>
                <w:rFonts w:ascii="Times New Roman" w:hAnsi="Times New Roman" w:eastAsia="仿宋_GB2312" w:cs="Times New Roman"/>
                <w:b/>
                <w:bCs/>
                <w:color w:val="000000"/>
                <w:kern w:val="0"/>
                <w:sz w:val="24"/>
                <w:szCs w:val="24"/>
                <w:vertAlign w:val="superscript"/>
              </w:rPr>
              <w:t>#</w:t>
            </w:r>
          </w:p>
        </w:tc>
        <w:tc>
          <w:tcPr>
            <w:tcW w:w="4682" w:type="dxa"/>
            <w:shd w:val="clear" w:color="auto" w:fill="auto"/>
            <w:vAlign w:val="center"/>
          </w:tcPr>
          <w:p>
            <w:pPr>
              <w:widowControl/>
              <w:snapToGrid w:val="0"/>
              <w:jc w:val="center"/>
              <w:rPr>
                <w:rFonts w:ascii="Times New Roman" w:hAnsi="Times New Roman" w:eastAsia="仿宋_GB2312" w:cs="Times New Roman"/>
                <w:bCs/>
                <w:color w:val="000000"/>
                <w:kern w:val="0"/>
                <w:sz w:val="24"/>
                <w:szCs w:val="24"/>
              </w:rPr>
            </w:pPr>
            <w:r>
              <w:rPr>
                <w:rFonts w:ascii="Times New Roman" w:hAnsi="Times New Roman" w:eastAsia="仿宋_GB2312" w:cs="Times New Roman"/>
                <w:bCs/>
                <w:color w:val="000000"/>
                <w:kern w:val="0"/>
                <w:sz w:val="24"/>
                <w:szCs w:val="24"/>
              </w:rPr>
              <w:t>用于活动性强直性脊柱炎的成人患者</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5" w:hRule="atLeast"/>
          <w:jc w:val="center"/>
        </w:trPr>
        <w:tc>
          <w:tcPr>
            <w:tcW w:w="809" w:type="dxa"/>
            <w:shd w:val="clear" w:color="auto" w:fill="auto"/>
            <w:vAlign w:val="center"/>
          </w:tcPr>
          <w:p>
            <w:pPr>
              <w:widowControl/>
              <w:adjustRightInd w:val="0"/>
              <w:snapToGrid w:val="0"/>
              <w:jc w:val="center"/>
              <w:rPr>
                <w:rFonts w:ascii="Times New Roman" w:hAnsi="Times New Roman" w:eastAsia="仿宋_GB2312" w:cs="Times New Roman"/>
                <w:bCs/>
                <w:color w:val="000000"/>
                <w:kern w:val="0"/>
                <w:sz w:val="24"/>
                <w:szCs w:val="24"/>
              </w:rPr>
            </w:pPr>
            <w:r>
              <w:rPr>
                <w:rFonts w:ascii="Times New Roman" w:hAnsi="Times New Roman" w:eastAsia="仿宋_GB2312" w:cs="Times New Roman"/>
                <w:bCs/>
                <w:color w:val="000000"/>
                <w:kern w:val="0"/>
                <w:sz w:val="24"/>
                <w:szCs w:val="24"/>
              </w:rPr>
              <w:t>65</w:t>
            </w:r>
          </w:p>
        </w:tc>
        <w:tc>
          <w:tcPr>
            <w:tcW w:w="4148" w:type="dxa"/>
            <w:shd w:val="clear" w:color="auto" w:fill="auto"/>
            <w:vAlign w:val="center"/>
          </w:tcPr>
          <w:p>
            <w:pPr>
              <w:widowControl/>
              <w:snapToGrid w:val="0"/>
              <w:jc w:val="center"/>
              <w:rPr>
                <w:rFonts w:ascii="Times New Roman" w:hAnsi="Times New Roman" w:eastAsia="仿宋_GB2312" w:cs="Times New Roman"/>
                <w:bCs/>
                <w:color w:val="000000"/>
                <w:kern w:val="0"/>
                <w:sz w:val="24"/>
                <w:szCs w:val="24"/>
              </w:rPr>
            </w:pPr>
            <w:r>
              <w:rPr>
                <w:rFonts w:ascii="Times New Roman" w:hAnsi="Times New Roman" w:eastAsia="仿宋_GB2312" w:cs="Times New Roman"/>
                <w:bCs/>
                <w:color w:val="000000"/>
                <w:kern w:val="0"/>
                <w:sz w:val="24"/>
                <w:szCs w:val="24"/>
              </w:rPr>
              <w:t>西妥昔单抗注射液</w:t>
            </w:r>
            <w:r>
              <w:rPr>
                <w:rFonts w:ascii="Times New Roman" w:hAnsi="Times New Roman" w:eastAsia="仿宋_GB2312" w:cs="Times New Roman"/>
                <w:b/>
                <w:bCs/>
                <w:color w:val="000000"/>
                <w:kern w:val="0"/>
                <w:sz w:val="24"/>
                <w:szCs w:val="24"/>
                <w:vertAlign w:val="superscript"/>
              </w:rPr>
              <w:t>#</w:t>
            </w:r>
          </w:p>
        </w:tc>
        <w:tc>
          <w:tcPr>
            <w:tcW w:w="4682" w:type="dxa"/>
            <w:shd w:val="clear" w:color="auto" w:fill="auto"/>
            <w:vAlign w:val="center"/>
          </w:tcPr>
          <w:p>
            <w:pPr>
              <w:widowControl/>
              <w:snapToGrid w:val="0"/>
              <w:jc w:val="center"/>
              <w:rPr>
                <w:rFonts w:ascii="Times New Roman" w:hAnsi="Times New Roman" w:eastAsia="仿宋_GB2312" w:cs="Times New Roman"/>
                <w:bCs/>
                <w:color w:val="000000"/>
                <w:kern w:val="0"/>
                <w:sz w:val="24"/>
                <w:szCs w:val="24"/>
              </w:rPr>
            </w:pPr>
            <w:r>
              <w:rPr>
                <w:rFonts w:ascii="Times New Roman" w:hAnsi="Times New Roman" w:eastAsia="仿宋_GB2312" w:cs="Times New Roman"/>
                <w:bCs/>
                <w:color w:val="000000"/>
                <w:kern w:val="0"/>
                <w:sz w:val="24"/>
                <w:szCs w:val="24"/>
              </w:rPr>
              <w:t>既往未接受过全身系统性治疗的复发和/或转移性头颈部鳞状细胞癌</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5" w:hRule="atLeast"/>
          <w:jc w:val="center"/>
        </w:trPr>
        <w:tc>
          <w:tcPr>
            <w:tcW w:w="809" w:type="dxa"/>
            <w:shd w:val="clear" w:color="auto" w:fill="auto"/>
            <w:vAlign w:val="center"/>
          </w:tcPr>
          <w:p>
            <w:pPr>
              <w:widowControl/>
              <w:adjustRightInd w:val="0"/>
              <w:snapToGrid w:val="0"/>
              <w:jc w:val="center"/>
              <w:rPr>
                <w:rFonts w:ascii="Times New Roman" w:hAnsi="Times New Roman" w:eastAsia="仿宋_GB2312" w:cs="Times New Roman"/>
                <w:bCs/>
                <w:color w:val="000000"/>
                <w:kern w:val="0"/>
                <w:sz w:val="24"/>
                <w:szCs w:val="24"/>
              </w:rPr>
            </w:pPr>
            <w:r>
              <w:rPr>
                <w:rFonts w:ascii="Times New Roman" w:hAnsi="Times New Roman" w:eastAsia="仿宋_GB2312" w:cs="Times New Roman"/>
                <w:bCs/>
                <w:color w:val="000000"/>
                <w:kern w:val="0"/>
                <w:sz w:val="24"/>
                <w:szCs w:val="24"/>
              </w:rPr>
              <w:t>66</w:t>
            </w:r>
          </w:p>
        </w:tc>
        <w:tc>
          <w:tcPr>
            <w:tcW w:w="4148" w:type="dxa"/>
            <w:shd w:val="clear" w:color="auto" w:fill="auto"/>
            <w:vAlign w:val="center"/>
          </w:tcPr>
          <w:p>
            <w:pPr>
              <w:widowControl/>
              <w:snapToGrid w:val="0"/>
              <w:jc w:val="center"/>
              <w:rPr>
                <w:rFonts w:ascii="Times New Roman" w:hAnsi="Times New Roman" w:eastAsia="仿宋_GB2312" w:cs="Times New Roman"/>
                <w:bCs/>
                <w:color w:val="000000"/>
                <w:kern w:val="0"/>
                <w:sz w:val="24"/>
                <w:szCs w:val="24"/>
              </w:rPr>
            </w:pPr>
            <w:r>
              <w:rPr>
                <w:rFonts w:ascii="Times New Roman" w:hAnsi="Times New Roman" w:eastAsia="仿宋_GB2312" w:cs="Times New Roman"/>
                <w:bCs/>
                <w:color w:val="000000"/>
                <w:kern w:val="0"/>
                <w:sz w:val="24"/>
                <w:szCs w:val="24"/>
              </w:rPr>
              <w:t>盐酸帕洛诺司琼注射液</w:t>
            </w:r>
            <w:r>
              <w:rPr>
                <w:rFonts w:ascii="Times New Roman" w:hAnsi="Times New Roman" w:eastAsia="仿宋_GB2312" w:cs="Times New Roman"/>
                <w:b/>
                <w:bCs/>
                <w:color w:val="000000"/>
                <w:kern w:val="0"/>
                <w:sz w:val="24"/>
                <w:szCs w:val="24"/>
                <w:vertAlign w:val="superscript"/>
              </w:rPr>
              <w:t>#</w:t>
            </w:r>
          </w:p>
        </w:tc>
        <w:tc>
          <w:tcPr>
            <w:tcW w:w="4682" w:type="dxa"/>
            <w:shd w:val="clear" w:color="auto" w:fill="auto"/>
            <w:vAlign w:val="center"/>
          </w:tcPr>
          <w:p>
            <w:pPr>
              <w:widowControl/>
              <w:snapToGrid w:val="0"/>
              <w:jc w:val="center"/>
              <w:rPr>
                <w:rFonts w:ascii="Times New Roman" w:hAnsi="Times New Roman" w:eastAsia="仿宋_GB2312" w:cs="Times New Roman"/>
                <w:bCs/>
                <w:color w:val="000000"/>
                <w:kern w:val="0"/>
                <w:sz w:val="24"/>
                <w:szCs w:val="24"/>
              </w:rPr>
            </w:pPr>
            <w:r>
              <w:rPr>
                <w:rFonts w:ascii="Times New Roman" w:hAnsi="Times New Roman" w:eastAsia="仿宋_GB2312" w:cs="Times New Roman"/>
                <w:bCs/>
                <w:color w:val="000000"/>
                <w:kern w:val="0"/>
                <w:sz w:val="24"/>
                <w:szCs w:val="24"/>
              </w:rPr>
              <w:t>预防术后恶心呕吐</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5" w:hRule="atLeast"/>
          <w:jc w:val="center"/>
        </w:trPr>
        <w:tc>
          <w:tcPr>
            <w:tcW w:w="809" w:type="dxa"/>
            <w:shd w:val="clear" w:color="auto" w:fill="auto"/>
            <w:vAlign w:val="center"/>
          </w:tcPr>
          <w:p>
            <w:pPr>
              <w:widowControl/>
              <w:adjustRightInd w:val="0"/>
              <w:snapToGrid w:val="0"/>
              <w:jc w:val="center"/>
              <w:rPr>
                <w:rFonts w:ascii="Times New Roman" w:hAnsi="Times New Roman" w:eastAsia="仿宋_GB2312" w:cs="Times New Roman"/>
                <w:bCs/>
                <w:color w:val="000000"/>
                <w:kern w:val="0"/>
                <w:sz w:val="24"/>
                <w:szCs w:val="24"/>
              </w:rPr>
            </w:pPr>
            <w:r>
              <w:rPr>
                <w:rFonts w:ascii="Times New Roman" w:hAnsi="Times New Roman" w:eastAsia="仿宋_GB2312" w:cs="Times New Roman"/>
                <w:bCs/>
                <w:color w:val="000000"/>
                <w:kern w:val="0"/>
                <w:sz w:val="24"/>
                <w:szCs w:val="24"/>
              </w:rPr>
              <w:t>67</w:t>
            </w:r>
          </w:p>
        </w:tc>
        <w:tc>
          <w:tcPr>
            <w:tcW w:w="4148" w:type="dxa"/>
            <w:shd w:val="clear" w:color="auto" w:fill="auto"/>
            <w:vAlign w:val="center"/>
          </w:tcPr>
          <w:p>
            <w:pPr>
              <w:widowControl/>
              <w:snapToGrid w:val="0"/>
              <w:jc w:val="center"/>
              <w:rPr>
                <w:rFonts w:ascii="Times New Roman" w:hAnsi="Times New Roman" w:eastAsia="仿宋_GB2312" w:cs="Times New Roman"/>
                <w:bCs/>
                <w:color w:val="000000"/>
                <w:kern w:val="0"/>
                <w:sz w:val="24"/>
                <w:szCs w:val="24"/>
              </w:rPr>
            </w:pPr>
            <w:r>
              <w:rPr>
                <w:rFonts w:ascii="Times New Roman" w:hAnsi="Times New Roman" w:eastAsia="仿宋_GB2312" w:cs="Times New Roman"/>
                <w:bCs/>
                <w:color w:val="000000"/>
                <w:kern w:val="0"/>
                <w:sz w:val="24"/>
                <w:szCs w:val="24"/>
              </w:rPr>
              <w:t>乙磺酸尼达尼布软胶囊</w:t>
            </w:r>
            <w:r>
              <w:rPr>
                <w:rFonts w:ascii="Times New Roman" w:hAnsi="Times New Roman" w:eastAsia="仿宋_GB2312" w:cs="Times New Roman"/>
                <w:b/>
                <w:bCs/>
                <w:color w:val="000000"/>
                <w:kern w:val="0"/>
                <w:sz w:val="24"/>
                <w:szCs w:val="24"/>
                <w:vertAlign w:val="superscript"/>
              </w:rPr>
              <w:t>#</w:t>
            </w:r>
          </w:p>
        </w:tc>
        <w:tc>
          <w:tcPr>
            <w:tcW w:w="4682" w:type="dxa"/>
            <w:shd w:val="clear" w:color="auto" w:fill="auto"/>
            <w:vAlign w:val="center"/>
          </w:tcPr>
          <w:p>
            <w:pPr>
              <w:widowControl/>
              <w:snapToGrid w:val="0"/>
              <w:jc w:val="center"/>
              <w:rPr>
                <w:rFonts w:ascii="Times New Roman" w:hAnsi="Times New Roman" w:eastAsia="仿宋_GB2312" w:cs="Times New Roman"/>
                <w:bCs/>
                <w:color w:val="000000"/>
                <w:kern w:val="0"/>
                <w:sz w:val="24"/>
                <w:szCs w:val="24"/>
              </w:rPr>
            </w:pPr>
            <w:r>
              <w:rPr>
                <w:rFonts w:ascii="Times New Roman" w:hAnsi="Times New Roman" w:eastAsia="仿宋_GB2312" w:cs="Times New Roman"/>
                <w:bCs/>
                <w:color w:val="000000"/>
                <w:kern w:val="0"/>
                <w:sz w:val="24"/>
                <w:szCs w:val="24"/>
              </w:rPr>
              <w:t>系统性硬化病相关间质性肺疾病；具有进行性表型的其他慢性纤维化性间质性肺疾病</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5" w:hRule="atLeast"/>
          <w:jc w:val="center"/>
        </w:trPr>
        <w:tc>
          <w:tcPr>
            <w:tcW w:w="809" w:type="dxa"/>
            <w:shd w:val="clear" w:color="auto" w:fill="auto"/>
            <w:vAlign w:val="center"/>
          </w:tcPr>
          <w:p>
            <w:pPr>
              <w:widowControl/>
              <w:adjustRightInd w:val="0"/>
              <w:snapToGrid w:val="0"/>
              <w:jc w:val="center"/>
              <w:rPr>
                <w:rFonts w:ascii="Times New Roman" w:hAnsi="Times New Roman" w:eastAsia="仿宋_GB2312" w:cs="Times New Roman"/>
                <w:bCs/>
                <w:color w:val="000000"/>
                <w:kern w:val="0"/>
                <w:sz w:val="24"/>
                <w:szCs w:val="24"/>
              </w:rPr>
            </w:pPr>
            <w:r>
              <w:rPr>
                <w:rFonts w:ascii="Times New Roman" w:hAnsi="Times New Roman" w:eastAsia="仿宋_GB2312" w:cs="Times New Roman"/>
                <w:bCs/>
                <w:color w:val="000000"/>
                <w:kern w:val="0"/>
                <w:sz w:val="24"/>
                <w:szCs w:val="24"/>
              </w:rPr>
              <w:t>68</w:t>
            </w:r>
          </w:p>
        </w:tc>
        <w:tc>
          <w:tcPr>
            <w:tcW w:w="4148" w:type="dxa"/>
            <w:shd w:val="clear" w:color="auto" w:fill="auto"/>
            <w:vAlign w:val="center"/>
          </w:tcPr>
          <w:p>
            <w:pPr>
              <w:widowControl/>
              <w:snapToGrid w:val="0"/>
              <w:jc w:val="center"/>
              <w:rPr>
                <w:rFonts w:ascii="Times New Roman" w:hAnsi="Times New Roman" w:eastAsia="仿宋_GB2312" w:cs="Times New Roman"/>
                <w:bCs/>
                <w:color w:val="000000"/>
                <w:kern w:val="0"/>
                <w:sz w:val="24"/>
                <w:szCs w:val="24"/>
              </w:rPr>
            </w:pPr>
            <w:r>
              <w:rPr>
                <w:rFonts w:ascii="Times New Roman" w:hAnsi="Times New Roman" w:eastAsia="仿宋_GB2312" w:cs="Times New Roman"/>
                <w:bCs/>
                <w:color w:val="000000"/>
                <w:kern w:val="0"/>
                <w:sz w:val="24"/>
                <w:szCs w:val="24"/>
              </w:rPr>
              <w:t>注射用贝利尤单抗</w:t>
            </w:r>
            <w:r>
              <w:rPr>
                <w:rFonts w:ascii="Times New Roman" w:hAnsi="Times New Roman" w:eastAsia="仿宋_GB2312" w:cs="Times New Roman"/>
                <w:b/>
                <w:bCs/>
                <w:color w:val="000000"/>
                <w:kern w:val="0"/>
                <w:sz w:val="24"/>
                <w:szCs w:val="24"/>
                <w:vertAlign w:val="superscript"/>
              </w:rPr>
              <w:t>#</w:t>
            </w:r>
          </w:p>
        </w:tc>
        <w:tc>
          <w:tcPr>
            <w:tcW w:w="4682" w:type="dxa"/>
            <w:shd w:val="clear" w:color="auto" w:fill="auto"/>
            <w:vAlign w:val="center"/>
          </w:tcPr>
          <w:p>
            <w:pPr>
              <w:widowControl/>
              <w:snapToGrid w:val="0"/>
              <w:jc w:val="center"/>
              <w:rPr>
                <w:rFonts w:ascii="Times New Roman" w:hAnsi="Times New Roman" w:eastAsia="仿宋_GB2312" w:cs="Times New Roman"/>
                <w:bCs/>
                <w:color w:val="000000"/>
                <w:kern w:val="0"/>
                <w:sz w:val="24"/>
                <w:szCs w:val="24"/>
              </w:rPr>
            </w:pPr>
            <w:r>
              <w:rPr>
                <w:rFonts w:ascii="Times New Roman" w:hAnsi="Times New Roman" w:eastAsia="仿宋_GB2312" w:cs="Times New Roman"/>
                <w:bCs/>
                <w:color w:val="000000"/>
                <w:kern w:val="0"/>
                <w:sz w:val="24"/>
                <w:szCs w:val="24"/>
              </w:rPr>
              <w:t>与常规治疗联合用于活动性系统性红斑狼疮5岁及以上患者</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5" w:hRule="atLeast"/>
          <w:jc w:val="center"/>
        </w:trPr>
        <w:tc>
          <w:tcPr>
            <w:tcW w:w="809" w:type="dxa"/>
            <w:shd w:val="clear" w:color="auto" w:fill="auto"/>
            <w:vAlign w:val="center"/>
          </w:tcPr>
          <w:p>
            <w:pPr>
              <w:widowControl/>
              <w:adjustRightInd w:val="0"/>
              <w:snapToGrid w:val="0"/>
              <w:jc w:val="center"/>
              <w:rPr>
                <w:rFonts w:ascii="Times New Roman" w:hAnsi="Times New Roman" w:eastAsia="仿宋_GB2312" w:cs="Times New Roman"/>
                <w:bCs/>
                <w:color w:val="000000"/>
                <w:kern w:val="0"/>
                <w:sz w:val="24"/>
                <w:szCs w:val="24"/>
              </w:rPr>
            </w:pPr>
            <w:r>
              <w:rPr>
                <w:rFonts w:ascii="Times New Roman" w:hAnsi="Times New Roman" w:eastAsia="仿宋_GB2312" w:cs="Times New Roman"/>
                <w:bCs/>
                <w:color w:val="000000"/>
                <w:kern w:val="0"/>
                <w:sz w:val="24"/>
                <w:szCs w:val="24"/>
              </w:rPr>
              <w:t>69</w:t>
            </w:r>
          </w:p>
        </w:tc>
        <w:tc>
          <w:tcPr>
            <w:tcW w:w="4148" w:type="dxa"/>
            <w:shd w:val="clear" w:color="auto" w:fill="auto"/>
            <w:vAlign w:val="center"/>
          </w:tcPr>
          <w:p>
            <w:pPr>
              <w:widowControl/>
              <w:snapToGrid w:val="0"/>
              <w:jc w:val="center"/>
              <w:rPr>
                <w:rFonts w:ascii="Times New Roman" w:hAnsi="Times New Roman" w:eastAsia="仿宋_GB2312" w:cs="Times New Roman"/>
                <w:bCs/>
                <w:color w:val="000000"/>
                <w:kern w:val="0"/>
                <w:sz w:val="24"/>
                <w:szCs w:val="24"/>
              </w:rPr>
            </w:pPr>
            <w:r>
              <w:rPr>
                <w:rFonts w:ascii="Times New Roman" w:hAnsi="Times New Roman" w:eastAsia="仿宋_GB2312" w:cs="Times New Roman"/>
                <w:bCs/>
                <w:color w:val="000000"/>
                <w:kern w:val="0"/>
                <w:sz w:val="24"/>
                <w:szCs w:val="24"/>
              </w:rPr>
              <w:t>阿达木单抗注射液</w:t>
            </w:r>
            <w:r>
              <w:rPr>
                <w:rFonts w:ascii="Times New Roman" w:hAnsi="Times New Roman" w:eastAsia="仿宋_GB2312" w:cs="Times New Roman"/>
                <w:b/>
                <w:bCs/>
                <w:color w:val="000000"/>
                <w:kern w:val="0"/>
                <w:sz w:val="24"/>
                <w:szCs w:val="24"/>
                <w:vertAlign w:val="superscript"/>
              </w:rPr>
              <w:t>#</w:t>
            </w:r>
          </w:p>
        </w:tc>
        <w:tc>
          <w:tcPr>
            <w:tcW w:w="4682" w:type="dxa"/>
            <w:shd w:val="clear" w:color="auto" w:fill="auto"/>
            <w:vAlign w:val="center"/>
          </w:tcPr>
          <w:p>
            <w:pPr>
              <w:widowControl/>
              <w:snapToGrid w:val="0"/>
              <w:jc w:val="center"/>
              <w:rPr>
                <w:rFonts w:ascii="Times New Roman" w:hAnsi="Times New Roman" w:eastAsia="仿宋_GB2312" w:cs="Times New Roman"/>
                <w:bCs/>
                <w:color w:val="000000"/>
                <w:kern w:val="0"/>
                <w:sz w:val="24"/>
                <w:szCs w:val="24"/>
              </w:rPr>
            </w:pPr>
            <w:r>
              <w:rPr>
                <w:rFonts w:ascii="Times New Roman" w:hAnsi="Times New Roman" w:eastAsia="仿宋_GB2312" w:cs="Times New Roman"/>
                <w:bCs/>
                <w:color w:val="000000"/>
                <w:kern w:val="0"/>
                <w:sz w:val="24"/>
                <w:szCs w:val="24"/>
              </w:rPr>
              <w:t>4岁及以上儿童与青少年重度慢性斑块状银屑病；非感染性葡萄膜炎</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5" w:hRule="atLeast"/>
          <w:jc w:val="center"/>
        </w:trPr>
        <w:tc>
          <w:tcPr>
            <w:tcW w:w="809" w:type="dxa"/>
            <w:shd w:val="clear" w:color="auto" w:fill="auto"/>
            <w:vAlign w:val="center"/>
          </w:tcPr>
          <w:p>
            <w:pPr>
              <w:widowControl/>
              <w:adjustRightInd w:val="0"/>
              <w:snapToGrid w:val="0"/>
              <w:jc w:val="center"/>
              <w:rPr>
                <w:rFonts w:ascii="Times New Roman" w:hAnsi="Times New Roman" w:eastAsia="仿宋_GB2312" w:cs="Times New Roman"/>
                <w:bCs/>
                <w:color w:val="000000"/>
                <w:kern w:val="0"/>
                <w:sz w:val="24"/>
                <w:szCs w:val="24"/>
              </w:rPr>
            </w:pPr>
            <w:r>
              <w:rPr>
                <w:rFonts w:ascii="Times New Roman" w:hAnsi="Times New Roman" w:eastAsia="仿宋_GB2312" w:cs="Times New Roman"/>
                <w:bCs/>
                <w:color w:val="000000"/>
                <w:kern w:val="0"/>
                <w:sz w:val="24"/>
                <w:szCs w:val="24"/>
              </w:rPr>
              <w:t>70</w:t>
            </w:r>
          </w:p>
        </w:tc>
        <w:tc>
          <w:tcPr>
            <w:tcW w:w="4148" w:type="dxa"/>
            <w:shd w:val="clear" w:color="auto" w:fill="auto"/>
            <w:vAlign w:val="center"/>
          </w:tcPr>
          <w:p>
            <w:pPr>
              <w:widowControl/>
              <w:snapToGrid w:val="0"/>
              <w:jc w:val="center"/>
              <w:rPr>
                <w:rFonts w:ascii="Times New Roman" w:hAnsi="Times New Roman" w:eastAsia="仿宋_GB2312" w:cs="Times New Roman"/>
                <w:bCs/>
                <w:color w:val="000000"/>
                <w:kern w:val="0"/>
                <w:sz w:val="24"/>
                <w:szCs w:val="24"/>
              </w:rPr>
            </w:pPr>
            <w:r>
              <w:rPr>
                <w:rFonts w:ascii="Times New Roman" w:hAnsi="Times New Roman" w:eastAsia="仿宋_GB2312" w:cs="Times New Roman"/>
                <w:bCs/>
                <w:color w:val="000000"/>
                <w:kern w:val="0"/>
                <w:sz w:val="24"/>
                <w:szCs w:val="24"/>
              </w:rPr>
              <w:t>恩曲他滨替诺福韦片</w:t>
            </w:r>
            <w:r>
              <w:rPr>
                <w:rFonts w:ascii="Times New Roman" w:hAnsi="Times New Roman" w:eastAsia="仿宋_GB2312" w:cs="Times New Roman"/>
                <w:b/>
                <w:bCs/>
                <w:color w:val="000000"/>
                <w:kern w:val="0"/>
                <w:sz w:val="24"/>
                <w:szCs w:val="24"/>
                <w:vertAlign w:val="superscript"/>
              </w:rPr>
              <w:t>#</w:t>
            </w:r>
          </w:p>
        </w:tc>
        <w:tc>
          <w:tcPr>
            <w:tcW w:w="4682" w:type="dxa"/>
            <w:shd w:val="clear" w:color="auto" w:fill="auto"/>
            <w:vAlign w:val="center"/>
          </w:tcPr>
          <w:p>
            <w:pPr>
              <w:widowControl/>
              <w:snapToGrid w:val="0"/>
              <w:jc w:val="center"/>
              <w:rPr>
                <w:rFonts w:ascii="Times New Roman" w:hAnsi="Times New Roman" w:eastAsia="仿宋_GB2312" w:cs="Times New Roman"/>
                <w:bCs/>
                <w:color w:val="000000"/>
                <w:kern w:val="0"/>
                <w:sz w:val="24"/>
                <w:szCs w:val="24"/>
              </w:rPr>
            </w:pPr>
            <w:r>
              <w:rPr>
                <w:rFonts w:ascii="Times New Roman" w:hAnsi="Times New Roman" w:eastAsia="仿宋_GB2312" w:cs="Times New Roman"/>
                <w:bCs/>
                <w:color w:val="000000"/>
                <w:kern w:val="0"/>
                <w:sz w:val="24"/>
                <w:szCs w:val="24"/>
              </w:rPr>
              <w:t>HIV-1暴露前预防</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5" w:hRule="atLeast"/>
          <w:jc w:val="center"/>
        </w:trPr>
        <w:tc>
          <w:tcPr>
            <w:tcW w:w="809" w:type="dxa"/>
            <w:shd w:val="clear" w:color="auto" w:fill="auto"/>
            <w:vAlign w:val="center"/>
          </w:tcPr>
          <w:p>
            <w:pPr>
              <w:widowControl/>
              <w:adjustRightInd w:val="0"/>
              <w:snapToGrid w:val="0"/>
              <w:jc w:val="center"/>
              <w:rPr>
                <w:rFonts w:ascii="Times New Roman" w:hAnsi="Times New Roman" w:eastAsia="仿宋_GB2312" w:cs="Times New Roman"/>
                <w:bCs/>
                <w:color w:val="000000"/>
                <w:kern w:val="0"/>
                <w:sz w:val="24"/>
                <w:szCs w:val="24"/>
              </w:rPr>
            </w:pPr>
            <w:r>
              <w:rPr>
                <w:rFonts w:ascii="Times New Roman" w:hAnsi="Times New Roman" w:eastAsia="仿宋_GB2312" w:cs="Times New Roman"/>
                <w:bCs/>
                <w:color w:val="000000"/>
                <w:kern w:val="0"/>
                <w:sz w:val="24"/>
                <w:szCs w:val="24"/>
              </w:rPr>
              <w:t>71</w:t>
            </w:r>
          </w:p>
        </w:tc>
        <w:tc>
          <w:tcPr>
            <w:tcW w:w="4148" w:type="dxa"/>
            <w:shd w:val="clear" w:color="auto" w:fill="auto"/>
            <w:vAlign w:val="center"/>
          </w:tcPr>
          <w:p>
            <w:pPr>
              <w:widowControl/>
              <w:snapToGrid w:val="0"/>
              <w:jc w:val="center"/>
              <w:rPr>
                <w:rFonts w:ascii="Times New Roman" w:hAnsi="Times New Roman" w:eastAsia="仿宋_GB2312" w:cs="Times New Roman"/>
                <w:bCs/>
                <w:color w:val="000000"/>
                <w:kern w:val="0"/>
                <w:sz w:val="24"/>
                <w:szCs w:val="24"/>
              </w:rPr>
            </w:pPr>
            <w:r>
              <w:rPr>
                <w:rFonts w:ascii="Times New Roman" w:hAnsi="Times New Roman" w:eastAsia="仿宋_GB2312" w:cs="Times New Roman"/>
                <w:bCs/>
                <w:color w:val="000000"/>
                <w:kern w:val="0"/>
                <w:sz w:val="24"/>
                <w:szCs w:val="24"/>
              </w:rPr>
              <w:t>乌司奴单抗注射液/</w:t>
            </w:r>
          </w:p>
          <w:p>
            <w:pPr>
              <w:widowControl/>
              <w:snapToGrid w:val="0"/>
              <w:jc w:val="center"/>
              <w:rPr>
                <w:rFonts w:ascii="Times New Roman" w:hAnsi="Times New Roman" w:eastAsia="仿宋_GB2312" w:cs="Times New Roman"/>
                <w:bCs/>
                <w:color w:val="000000"/>
                <w:kern w:val="0"/>
                <w:sz w:val="24"/>
                <w:szCs w:val="24"/>
              </w:rPr>
            </w:pPr>
            <w:r>
              <w:rPr>
                <w:rFonts w:ascii="Times New Roman" w:hAnsi="Times New Roman" w:eastAsia="仿宋_GB2312" w:cs="Times New Roman"/>
                <w:bCs/>
                <w:color w:val="000000"/>
                <w:kern w:val="0"/>
                <w:sz w:val="24"/>
                <w:szCs w:val="24"/>
              </w:rPr>
              <w:t>乌司奴单抗注射液（静脉输注）</w:t>
            </w:r>
            <w:r>
              <w:rPr>
                <w:rFonts w:ascii="Times New Roman" w:hAnsi="Times New Roman" w:eastAsia="仿宋_GB2312" w:cs="Times New Roman"/>
                <w:b/>
                <w:bCs/>
                <w:color w:val="000000"/>
                <w:kern w:val="0"/>
                <w:sz w:val="24"/>
                <w:szCs w:val="24"/>
                <w:vertAlign w:val="superscript"/>
              </w:rPr>
              <w:t>#</w:t>
            </w:r>
          </w:p>
        </w:tc>
        <w:tc>
          <w:tcPr>
            <w:tcW w:w="4682" w:type="dxa"/>
            <w:shd w:val="clear" w:color="auto" w:fill="auto"/>
            <w:vAlign w:val="center"/>
          </w:tcPr>
          <w:p>
            <w:pPr>
              <w:widowControl/>
              <w:snapToGrid w:val="0"/>
              <w:jc w:val="center"/>
              <w:rPr>
                <w:rFonts w:ascii="Times New Roman" w:hAnsi="Times New Roman" w:eastAsia="仿宋_GB2312" w:cs="Times New Roman"/>
                <w:bCs/>
                <w:color w:val="000000"/>
                <w:kern w:val="0"/>
                <w:sz w:val="24"/>
                <w:szCs w:val="24"/>
              </w:rPr>
            </w:pPr>
            <w:r>
              <w:rPr>
                <w:rFonts w:ascii="Times New Roman" w:hAnsi="Times New Roman" w:eastAsia="仿宋_GB2312" w:cs="Times New Roman"/>
                <w:bCs/>
                <w:color w:val="000000"/>
                <w:kern w:val="0"/>
                <w:sz w:val="24"/>
                <w:szCs w:val="24"/>
              </w:rPr>
              <w:t>成人中重度活动性克罗恩病患者</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5" w:hRule="atLeast"/>
          <w:jc w:val="center"/>
        </w:trPr>
        <w:tc>
          <w:tcPr>
            <w:tcW w:w="809" w:type="dxa"/>
            <w:shd w:val="clear" w:color="auto" w:fill="auto"/>
            <w:vAlign w:val="center"/>
          </w:tcPr>
          <w:p>
            <w:pPr>
              <w:widowControl/>
              <w:adjustRightInd w:val="0"/>
              <w:snapToGrid w:val="0"/>
              <w:jc w:val="center"/>
              <w:rPr>
                <w:rFonts w:ascii="Times New Roman" w:hAnsi="Times New Roman" w:eastAsia="仿宋_GB2312" w:cs="Times New Roman"/>
                <w:bCs/>
                <w:color w:val="000000"/>
                <w:kern w:val="0"/>
                <w:sz w:val="24"/>
                <w:szCs w:val="24"/>
              </w:rPr>
            </w:pPr>
            <w:r>
              <w:rPr>
                <w:rFonts w:ascii="Times New Roman" w:hAnsi="Times New Roman" w:eastAsia="仿宋_GB2312" w:cs="Times New Roman"/>
                <w:bCs/>
                <w:color w:val="000000"/>
                <w:kern w:val="0"/>
                <w:sz w:val="24"/>
                <w:szCs w:val="24"/>
              </w:rPr>
              <w:t>72</w:t>
            </w:r>
          </w:p>
        </w:tc>
        <w:tc>
          <w:tcPr>
            <w:tcW w:w="4148" w:type="dxa"/>
            <w:shd w:val="clear" w:color="auto" w:fill="auto"/>
            <w:vAlign w:val="center"/>
          </w:tcPr>
          <w:p>
            <w:pPr>
              <w:widowControl/>
              <w:snapToGrid w:val="0"/>
              <w:jc w:val="center"/>
              <w:rPr>
                <w:rFonts w:ascii="Times New Roman" w:hAnsi="Times New Roman" w:eastAsia="仿宋_GB2312" w:cs="Times New Roman"/>
                <w:bCs/>
                <w:color w:val="000000"/>
                <w:kern w:val="0"/>
                <w:sz w:val="24"/>
                <w:szCs w:val="24"/>
              </w:rPr>
            </w:pPr>
            <w:r>
              <w:rPr>
                <w:rFonts w:ascii="Times New Roman" w:hAnsi="Times New Roman" w:eastAsia="仿宋_GB2312" w:cs="Times New Roman"/>
                <w:bCs/>
                <w:color w:val="000000"/>
                <w:kern w:val="0"/>
                <w:sz w:val="24"/>
                <w:szCs w:val="24"/>
              </w:rPr>
              <w:t>左乙拉西坦注射用浓溶液</w:t>
            </w:r>
            <w:r>
              <w:rPr>
                <w:rFonts w:ascii="Times New Roman" w:hAnsi="Times New Roman" w:eastAsia="仿宋_GB2312" w:cs="Times New Roman"/>
                <w:b/>
                <w:bCs/>
                <w:color w:val="000000"/>
                <w:kern w:val="0"/>
                <w:sz w:val="24"/>
                <w:szCs w:val="24"/>
                <w:vertAlign w:val="superscript"/>
              </w:rPr>
              <w:t>#</w:t>
            </w:r>
          </w:p>
        </w:tc>
        <w:tc>
          <w:tcPr>
            <w:tcW w:w="4682" w:type="dxa"/>
            <w:shd w:val="clear" w:color="auto" w:fill="auto"/>
            <w:vAlign w:val="center"/>
          </w:tcPr>
          <w:p>
            <w:pPr>
              <w:widowControl/>
              <w:snapToGrid w:val="0"/>
              <w:jc w:val="center"/>
              <w:rPr>
                <w:rFonts w:ascii="Times New Roman" w:hAnsi="Times New Roman" w:eastAsia="仿宋_GB2312" w:cs="Times New Roman"/>
                <w:bCs/>
                <w:color w:val="000000"/>
                <w:kern w:val="0"/>
                <w:sz w:val="24"/>
                <w:szCs w:val="24"/>
              </w:rPr>
            </w:pPr>
            <w:r>
              <w:rPr>
                <w:rFonts w:ascii="Times New Roman" w:hAnsi="Times New Roman" w:eastAsia="仿宋_GB2312" w:cs="Times New Roman"/>
                <w:bCs/>
                <w:color w:val="000000"/>
                <w:kern w:val="0"/>
                <w:sz w:val="24"/>
                <w:szCs w:val="24"/>
              </w:rPr>
              <w:t>4岁以上儿童及成人癫痫患者部分性发作</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5" w:hRule="atLeast"/>
          <w:jc w:val="center"/>
        </w:trPr>
        <w:tc>
          <w:tcPr>
            <w:tcW w:w="809" w:type="dxa"/>
            <w:shd w:val="clear" w:color="auto" w:fill="auto"/>
            <w:vAlign w:val="center"/>
          </w:tcPr>
          <w:p>
            <w:pPr>
              <w:widowControl/>
              <w:adjustRightInd w:val="0"/>
              <w:snapToGrid w:val="0"/>
              <w:jc w:val="center"/>
              <w:rPr>
                <w:rFonts w:ascii="Times New Roman" w:hAnsi="Times New Roman" w:eastAsia="仿宋_GB2312" w:cs="Times New Roman"/>
                <w:bCs/>
                <w:color w:val="000000"/>
                <w:kern w:val="0"/>
                <w:sz w:val="24"/>
                <w:szCs w:val="24"/>
              </w:rPr>
            </w:pPr>
            <w:r>
              <w:rPr>
                <w:rFonts w:ascii="Times New Roman" w:hAnsi="Times New Roman" w:eastAsia="仿宋_GB2312" w:cs="Times New Roman"/>
                <w:bCs/>
                <w:color w:val="000000"/>
                <w:kern w:val="0"/>
                <w:sz w:val="24"/>
                <w:szCs w:val="24"/>
              </w:rPr>
              <w:t>73</w:t>
            </w:r>
          </w:p>
        </w:tc>
        <w:tc>
          <w:tcPr>
            <w:tcW w:w="4148" w:type="dxa"/>
            <w:shd w:val="clear" w:color="auto" w:fill="auto"/>
            <w:vAlign w:val="center"/>
          </w:tcPr>
          <w:p>
            <w:pPr>
              <w:widowControl/>
              <w:snapToGrid w:val="0"/>
              <w:jc w:val="center"/>
              <w:rPr>
                <w:rFonts w:ascii="Times New Roman" w:hAnsi="Times New Roman" w:eastAsia="仿宋_GB2312" w:cs="Times New Roman"/>
                <w:bCs/>
                <w:color w:val="000000"/>
                <w:kern w:val="0"/>
                <w:sz w:val="24"/>
                <w:szCs w:val="24"/>
              </w:rPr>
            </w:pPr>
            <w:r>
              <w:rPr>
                <w:rFonts w:ascii="Times New Roman" w:hAnsi="Times New Roman" w:eastAsia="仿宋_GB2312" w:cs="Times New Roman"/>
                <w:bCs/>
                <w:color w:val="000000"/>
                <w:kern w:val="0"/>
                <w:sz w:val="24"/>
                <w:szCs w:val="24"/>
              </w:rPr>
              <w:t>富马酸卢帕他定片*</w:t>
            </w:r>
          </w:p>
        </w:tc>
        <w:tc>
          <w:tcPr>
            <w:tcW w:w="4682" w:type="dxa"/>
            <w:shd w:val="clear" w:color="auto" w:fill="auto"/>
            <w:vAlign w:val="center"/>
          </w:tcPr>
          <w:p>
            <w:pPr>
              <w:widowControl/>
              <w:snapToGrid w:val="0"/>
              <w:jc w:val="center"/>
              <w:rPr>
                <w:rFonts w:ascii="Times New Roman" w:hAnsi="Times New Roman" w:eastAsia="仿宋_GB2312" w:cs="Times New Roman"/>
                <w:bCs/>
                <w:color w:val="000000"/>
                <w:kern w:val="0"/>
                <w:sz w:val="24"/>
                <w:szCs w:val="24"/>
              </w:rPr>
            </w:pPr>
            <w:r>
              <w:rPr>
                <w:rFonts w:ascii="Times New Roman" w:hAnsi="Times New Roman" w:eastAsia="仿宋_GB2312" w:cs="Times New Roman"/>
                <w:bCs/>
                <w:color w:val="000000"/>
                <w:kern w:val="0"/>
                <w:sz w:val="24"/>
                <w:szCs w:val="24"/>
              </w:rPr>
              <w:t>过敏性鼻炎和荨麻疹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5" w:hRule="atLeast"/>
          <w:jc w:val="center"/>
        </w:trPr>
        <w:tc>
          <w:tcPr>
            <w:tcW w:w="809" w:type="dxa"/>
            <w:shd w:val="clear" w:color="auto" w:fill="auto"/>
            <w:vAlign w:val="center"/>
          </w:tcPr>
          <w:p>
            <w:pPr>
              <w:widowControl/>
              <w:adjustRightInd w:val="0"/>
              <w:snapToGrid w:val="0"/>
              <w:jc w:val="center"/>
              <w:rPr>
                <w:rFonts w:ascii="Times New Roman" w:hAnsi="Times New Roman" w:eastAsia="仿宋_GB2312" w:cs="Times New Roman"/>
                <w:bCs/>
                <w:color w:val="000000"/>
                <w:kern w:val="0"/>
                <w:sz w:val="24"/>
                <w:szCs w:val="24"/>
              </w:rPr>
            </w:pPr>
            <w:r>
              <w:rPr>
                <w:rFonts w:ascii="Times New Roman" w:hAnsi="Times New Roman" w:eastAsia="仿宋_GB2312" w:cs="Times New Roman"/>
                <w:bCs/>
                <w:color w:val="000000"/>
                <w:kern w:val="0"/>
                <w:sz w:val="24"/>
                <w:szCs w:val="24"/>
              </w:rPr>
              <w:t>74</w:t>
            </w:r>
          </w:p>
        </w:tc>
        <w:tc>
          <w:tcPr>
            <w:tcW w:w="4148" w:type="dxa"/>
            <w:shd w:val="clear" w:color="auto" w:fill="auto"/>
            <w:vAlign w:val="center"/>
          </w:tcPr>
          <w:p>
            <w:pPr>
              <w:widowControl/>
              <w:snapToGrid w:val="0"/>
              <w:jc w:val="center"/>
              <w:rPr>
                <w:rFonts w:ascii="Times New Roman" w:hAnsi="Times New Roman" w:eastAsia="仿宋_GB2312" w:cs="Times New Roman"/>
                <w:bCs/>
                <w:color w:val="000000"/>
                <w:kern w:val="0"/>
                <w:sz w:val="24"/>
                <w:szCs w:val="24"/>
              </w:rPr>
            </w:pPr>
            <w:r>
              <w:rPr>
                <w:rFonts w:ascii="Times New Roman" w:hAnsi="Times New Roman" w:eastAsia="仿宋_GB2312" w:cs="Times New Roman"/>
                <w:bCs/>
                <w:color w:val="000000"/>
                <w:kern w:val="0"/>
                <w:sz w:val="24"/>
                <w:szCs w:val="24"/>
              </w:rPr>
              <w:t>盐酸二甲双胍片*</w:t>
            </w:r>
          </w:p>
        </w:tc>
        <w:tc>
          <w:tcPr>
            <w:tcW w:w="4682" w:type="dxa"/>
            <w:shd w:val="clear" w:color="auto" w:fill="auto"/>
            <w:vAlign w:val="center"/>
          </w:tcPr>
          <w:p>
            <w:pPr>
              <w:widowControl/>
              <w:snapToGrid w:val="0"/>
              <w:jc w:val="center"/>
              <w:rPr>
                <w:rFonts w:ascii="Times New Roman" w:hAnsi="Times New Roman" w:eastAsia="仿宋_GB2312" w:cs="Times New Roman"/>
                <w:bCs/>
                <w:color w:val="000000"/>
                <w:kern w:val="0"/>
                <w:sz w:val="24"/>
                <w:szCs w:val="24"/>
              </w:rPr>
            </w:pPr>
            <w:r>
              <w:rPr>
                <w:rFonts w:ascii="Times New Roman" w:hAnsi="Times New Roman" w:eastAsia="仿宋_GB2312" w:cs="Times New Roman"/>
                <w:bCs/>
                <w:color w:val="000000"/>
                <w:kern w:val="0"/>
                <w:sz w:val="24"/>
                <w:szCs w:val="24"/>
              </w:rPr>
              <w:t>2型糖尿病</w:t>
            </w:r>
          </w:p>
        </w:tc>
      </w:tr>
    </w:tbl>
    <w:p>
      <w:pPr>
        <w:widowControl/>
        <w:adjustRightInd w:val="0"/>
        <w:snapToGrid w:val="0"/>
        <w:ind w:left="600" w:hanging="600" w:hangingChars="250"/>
        <w:rPr>
          <w:rFonts w:ascii="Times New Roman" w:hAnsi="Times New Roman" w:eastAsia="仿宋" w:cs="Times New Roman"/>
          <w:color w:val="000000"/>
          <w:sz w:val="24"/>
          <w:szCs w:val="24"/>
        </w:rPr>
      </w:pPr>
      <w:r>
        <w:rPr>
          <w:rFonts w:ascii="Times New Roman" w:hAnsi="Times New Roman" w:eastAsia="仿宋_GB2312" w:cs="Times New Roman"/>
          <w:color w:val="000000"/>
          <w:sz w:val="24"/>
          <w:szCs w:val="24"/>
        </w:rPr>
        <w:t>注：</w:t>
      </w:r>
      <w:r>
        <w:rPr>
          <w:rFonts w:ascii="Times New Roman" w:hAnsi="Times New Roman" w:eastAsia="仿宋" w:cs="Times New Roman"/>
          <w:color w:val="000000"/>
          <w:sz w:val="24"/>
          <w:szCs w:val="24"/>
        </w:rPr>
        <w:t>1.</w:t>
      </w:r>
      <w:r>
        <w:rPr>
          <w:rFonts w:hint="eastAsia" w:ascii="仿宋_GB2312" w:hAnsi="Times New Roman" w:eastAsia="仿宋_GB2312" w:cs="Times New Roman"/>
          <w:color w:val="000000"/>
          <w:sz w:val="24"/>
          <w:szCs w:val="24"/>
        </w:rPr>
        <w:t>“</w:t>
      </w:r>
      <w:r>
        <w:rPr>
          <w:rFonts w:ascii="Times New Roman" w:hAnsi="Times New Roman" w:eastAsia="仿宋_GB2312" w:cs="Times New Roman"/>
          <w:b/>
          <w:bCs/>
          <w:color w:val="000000"/>
          <w:kern w:val="0"/>
          <w:sz w:val="24"/>
          <w:szCs w:val="24"/>
          <w:vertAlign w:val="superscript"/>
        </w:rPr>
        <w:t>#</w:t>
      </w:r>
      <w:r>
        <w:rPr>
          <w:rFonts w:hint="eastAsia" w:ascii="仿宋_GB2312" w:hAnsi="Times New Roman" w:eastAsia="仿宋_GB2312" w:cs="Times New Roman"/>
          <w:color w:val="000000"/>
          <w:sz w:val="24"/>
          <w:szCs w:val="24"/>
        </w:rPr>
        <w:t>”</w:t>
      </w:r>
      <w:r>
        <w:rPr>
          <w:rFonts w:hint="eastAsia" w:ascii="Times New Roman" w:hAnsi="Times New Roman" w:eastAsia="仿宋" w:cs="Times New Roman"/>
          <w:color w:val="000000"/>
          <w:sz w:val="24"/>
          <w:szCs w:val="24"/>
        </w:rPr>
        <w:t>为</w:t>
      </w:r>
      <w:r>
        <w:rPr>
          <w:rFonts w:ascii="Times New Roman" w:hAnsi="Times New Roman" w:eastAsia="仿宋" w:cs="Times New Roman"/>
          <w:color w:val="000000"/>
          <w:sz w:val="24"/>
          <w:szCs w:val="24"/>
        </w:rPr>
        <w:t>新增</w:t>
      </w:r>
      <w:r>
        <w:rPr>
          <w:rFonts w:hint="eastAsia" w:ascii="Times New Roman" w:hAnsi="Times New Roman" w:eastAsia="仿宋" w:cs="Times New Roman"/>
          <w:color w:val="000000"/>
          <w:sz w:val="24"/>
          <w:szCs w:val="24"/>
        </w:rPr>
        <w:t>适应症</w:t>
      </w:r>
      <w:r>
        <w:rPr>
          <w:rFonts w:ascii="Times New Roman" w:hAnsi="Times New Roman" w:eastAsia="仿宋" w:cs="Times New Roman"/>
          <w:color w:val="000000"/>
          <w:sz w:val="24"/>
          <w:szCs w:val="24"/>
        </w:rPr>
        <w:t>品种</w:t>
      </w:r>
      <w:r>
        <w:rPr>
          <w:rFonts w:hint="eastAsia" w:ascii="Times New Roman" w:hAnsi="Times New Roman" w:eastAsia="仿宋" w:cs="Times New Roman"/>
          <w:color w:val="000000"/>
          <w:sz w:val="24"/>
          <w:szCs w:val="24"/>
        </w:rPr>
        <w:t>。</w:t>
      </w:r>
    </w:p>
    <w:p>
      <w:pPr>
        <w:widowControl/>
        <w:ind w:left="675" w:leftChars="230" w:hanging="192" w:hangingChars="80"/>
        <w:jc w:val="left"/>
        <w:rPr>
          <w:rFonts w:ascii="Times New Roman" w:hAnsi="Times New Roman" w:eastAsia="仿宋" w:cs="Times New Roman"/>
          <w:color w:val="000000"/>
          <w:sz w:val="24"/>
          <w:szCs w:val="24"/>
        </w:rPr>
      </w:pPr>
      <w:r>
        <w:rPr>
          <w:rFonts w:hint="eastAsia" w:ascii="Times New Roman" w:hAnsi="Times New Roman" w:eastAsia="仿宋" w:cs="Times New Roman"/>
          <w:color w:val="000000"/>
          <w:sz w:val="24"/>
          <w:szCs w:val="24"/>
        </w:rPr>
        <w:t>2.</w:t>
      </w:r>
      <w:r>
        <w:rPr>
          <w:rFonts w:ascii="Times New Roman" w:hAnsi="Times New Roman" w:eastAsia="仿宋_GB2312" w:cs="Times New Roman"/>
          <w:bCs/>
          <w:color w:val="000000"/>
          <w:kern w:val="0"/>
          <w:sz w:val="24"/>
          <w:szCs w:val="24"/>
        </w:rPr>
        <w:t>“*”</w:t>
      </w:r>
      <w:r>
        <w:rPr>
          <w:rFonts w:hint="eastAsia" w:ascii="Times New Roman" w:hAnsi="Times New Roman" w:eastAsia="仿宋" w:cs="Times New Roman"/>
          <w:color w:val="000000"/>
          <w:sz w:val="24"/>
          <w:szCs w:val="24"/>
        </w:rPr>
        <w:t>是</w:t>
      </w:r>
      <w:r>
        <w:rPr>
          <w:rFonts w:ascii="Times New Roman" w:hAnsi="Times New Roman" w:eastAsia="仿宋" w:cs="Times New Roman"/>
          <w:color w:val="000000"/>
          <w:sz w:val="24"/>
          <w:szCs w:val="24"/>
        </w:rPr>
        <w:t>国内</w:t>
      </w:r>
      <w:r>
        <w:rPr>
          <w:rFonts w:ascii="Times New Roman" w:hAnsi="Times New Roman" w:eastAsia="仿宋_GB2312" w:cs="Times New Roman"/>
          <w:color w:val="000000"/>
          <w:sz w:val="24"/>
          <w:szCs w:val="24"/>
        </w:rPr>
        <w:t>已有仿制品种上市的境外生产原研药</w:t>
      </w:r>
      <w:r>
        <w:rPr>
          <w:rFonts w:hint="eastAsia" w:ascii="Times New Roman" w:hAnsi="Times New Roman" w:eastAsia="仿宋_GB2312" w:cs="Times New Roman"/>
          <w:color w:val="000000"/>
          <w:sz w:val="24"/>
          <w:szCs w:val="24"/>
        </w:rPr>
        <w:t>，</w:t>
      </w:r>
      <w:r>
        <w:rPr>
          <w:rFonts w:ascii="Times New Roman" w:hAnsi="Times New Roman" w:eastAsia="仿宋_GB2312" w:cs="Times New Roman"/>
          <w:color w:val="000000"/>
          <w:sz w:val="24"/>
          <w:szCs w:val="24"/>
        </w:rPr>
        <w:t>不纳入2020年</w:t>
      </w:r>
      <w:r>
        <w:rPr>
          <w:rFonts w:ascii="Times New Roman" w:hAnsi="Times New Roman" w:eastAsia="仿宋_GB2312" w:cs="Times New Roman"/>
          <w:sz w:val="24"/>
          <w:szCs w:val="24"/>
        </w:rPr>
        <w:t>统计范围内</w:t>
      </w:r>
      <w:r>
        <w:rPr>
          <w:rFonts w:ascii="Times New Roman" w:hAnsi="Times New Roman" w:eastAsia="仿宋_GB2312" w:cs="Times New Roman"/>
          <w:color w:val="000000"/>
          <w:sz w:val="24"/>
          <w:szCs w:val="24"/>
        </w:rPr>
        <w:t>。</w:t>
      </w:r>
    </w:p>
    <w:sectPr>
      <w:headerReference r:id="rId3" w:type="default"/>
      <w:footerReference r:id="rId4" w:type="default"/>
      <w:pgSz w:w="11906" w:h="16838"/>
      <w:pgMar w:top="1440" w:right="1800" w:bottom="1440" w:left="1800" w:header="851" w:footer="992" w:gutter="0"/>
      <w:pgNumType w:fmt="decimal" w:start="7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altName w:val="Times New Roman"/>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altName w:val="方正宋体S-超大字符集(SIP)"/>
    <w:panose1 w:val="05050102010706020507"/>
    <w:charset w:val="02"/>
    <w:family w:val="roman"/>
    <w:pitch w:val="default"/>
    <w:sig w:usb0="00000000" w:usb1="00000000" w:usb2="00000000" w:usb3="00000000" w:csb0="80000000" w:csb1="00000000"/>
  </w:font>
  <w:font w:name="Calibri">
    <w:altName w:val="DejaVu Sans"/>
    <w:panose1 w:val="020F0502020204030204"/>
    <w:charset w:val="00"/>
    <w:family w:val="swiss"/>
    <w:pitch w:val="default"/>
    <w:sig w:usb0="00000000" w:usb1="00000000" w:usb2="00000001" w:usb3="00000000" w:csb0="0000019F" w:csb1="00000000"/>
  </w:font>
  <w:font w:name="方正小标宋简体">
    <w:panose1 w:val="03000509000000000000"/>
    <w:charset w:val="86"/>
    <w:family w:val="auto"/>
    <w:pitch w:val="default"/>
    <w:sig w:usb0="00000001" w:usb1="080E0000" w:usb2="00000000" w:usb3="00000000" w:csb0="00040000" w:csb1="00000000"/>
  </w:font>
  <w:font w:name="仿宋_GB2312">
    <w:panose1 w:val="02010609030101010101"/>
    <w:charset w:val="86"/>
    <w:family w:val="modern"/>
    <w:pitch w:val="default"/>
    <w:sig w:usb0="00000001" w:usb1="080E0000" w:usb2="00000000" w:usb3="00000000" w:csb0="00040000" w:csb1="00000000"/>
  </w:font>
  <w:font w:name="仿宋">
    <w:panose1 w:val="02010609060101010101"/>
    <w:charset w:val="86"/>
    <w:family w:val="modern"/>
    <w:pitch w:val="default"/>
    <w:sig w:usb0="800002BF" w:usb1="38CF7CFA" w:usb2="00000016" w:usb3="00000000" w:csb0="00040001" w:csb1="00000000"/>
  </w:font>
  <w:font w:name="DejaVu Sans">
    <w:panose1 w:val="020B0603030804020204"/>
    <w:charset w:val="00"/>
    <w:family w:val="auto"/>
    <w:pitch w:val="default"/>
    <w:sig w:usb0="E7006EFF" w:usb1="D200FDFF" w:usb2="0A246029" w:usb3="0400200C" w:csb0="600001FF" w:csb1="DFFF0000"/>
  </w:font>
  <w:font w:name="文泉驿正黑">
    <w:panose1 w:val="02000603000000000000"/>
    <w:charset w:val="86"/>
    <w:family w:val="auto"/>
    <w:pitch w:val="default"/>
    <w:sig w:usb0="900002BF" w:usb1="2BDF7DFB" w:usb2="00000036" w:usb3="00000000" w:csb0="603E000D" w:csb1="D2D70000"/>
  </w:font>
  <w:font w:name="方正宋体S-超大字符集(SIP)">
    <w:panose1 w:val="03000509000000000000"/>
    <w:charset w:val="86"/>
    <w:family w:val="auto"/>
    <w:pitch w:val="default"/>
    <w:sig w:usb0="00000003" w:usb1="0A0E0800" w:usb2="00000006" w:usb3="00000000" w:csb0="00040001" w:csb1="00000000"/>
  </w:font>
  <w:font w:name="楷体">
    <w:panose1 w:val="02010609060101010101"/>
    <w:charset w:val="86"/>
    <w:family w:val="auto"/>
    <w:pitch w:val="default"/>
    <w:sig w:usb0="800002BF" w:usb1="38CF7CFA" w:usb2="00000016" w:usb3="00000000" w:csb0="00040001" w:csb1="00000000"/>
  </w:font>
  <w:font w:name="方正楷体_GBK">
    <w:panose1 w:val="02000000000000000000"/>
    <w:charset w:val="86"/>
    <w:family w:val="auto"/>
    <w:pitch w:val="default"/>
    <w:sig w:usb0="00000001" w:usb1="08000000" w:usb2="00000000" w:usb3="00000000" w:csb0="00040000" w:csb1="00000000"/>
  </w:font>
  <w:font w:name="汉仪中宋简">
    <w:panose1 w:val="02010600000101010101"/>
    <w:charset w:val="86"/>
    <w:family w:val="auto"/>
    <w:pitch w:val="default"/>
    <w:sig w:usb0="00000001" w:usb1="080E0800" w:usb2="00000002" w:usb3="00000000" w:csb0="00040000" w:csb1="00000000"/>
  </w:font>
  <w:font w:name="MathJax_Caligraphic">
    <w:panose1 w:val="00000000000000000000"/>
    <w:charset w:val="00"/>
    <w:family w:val="auto"/>
    <w:pitch w:val="default"/>
    <w:sig w:usb0="800000EF" w:usb1="1000ECED" w:usb2="00000000" w:usb3="00000000" w:csb0="2000008F" w:csb1="5E030000"/>
  </w:font>
  <w:font w:name="MathJax_Fraktur">
    <w:panose1 w:val="00000000000000000000"/>
    <w:charset w:val="00"/>
    <w:family w:val="auto"/>
    <w:pitch w:val="default"/>
    <w:sig w:usb0="800000EF" w:usb1="1000ECED" w:usb2="00000000" w:usb3="00000000" w:csb0="2000008F" w:csb1="5E030000"/>
  </w:font>
  <w:font w:name="MathJax_SansSerif">
    <w:panose1 w:val="00000000000000000000"/>
    <w:charset w:val="00"/>
    <w:family w:val="auto"/>
    <w:pitch w:val="default"/>
    <w:sig w:usb0="800000EF" w:usb1="1000ECED" w:usb2="00000000" w:usb3="00000000" w:csb0="2000008F" w:csb1="5E030000"/>
  </w:font>
  <w:font w:name="Noto Sans Bengali">
    <w:panose1 w:val="020B0502040504020204"/>
    <w:charset w:val="00"/>
    <w:family w:val="auto"/>
    <w:pitch w:val="default"/>
    <w:sig w:usb0="00010000" w:usb1="00000000" w:usb2="00000000" w:usb3="00000000" w:csb0="00000001" w:csb1="00000000"/>
  </w:font>
  <w:font w:name="Noto Sans CJK JP Thin">
    <w:panose1 w:val="020B0200000000000000"/>
    <w:charset w:val="86"/>
    <w:family w:val="auto"/>
    <w:pitch w:val="default"/>
    <w:sig w:usb0="30000003" w:usb1="2BDF3C10" w:usb2="00000016" w:usb3="00000000" w:csb0="602E0107" w:csb1="00000000"/>
  </w:font>
  <w:font w:name="Noto Sans CJK SC Light">
    <w:panose1 w:val="020B0300000000000000"/>
    <w:charset w:val="86"/>
    <w:family w:val="auto"/>
    <w:pitch w:val="default"/>
    <w:sig w:usb0="30000003" w:usb1="2BDF3C10" w:usb2="00000016" w:usb3="00000000" w:csb0="602E0107" w:csb1="00000000"/>
  </w:font>
  <w:font w:name="Noto Sans CJK TC Thin">
    <w:panose1 w:val="020B0200000000000000"/>
    <w:charset w:val="88"/>
    <w:family w:val="auto"/>
    <w:pitch w:val="default"/>
    <w:sig w:usb0="30000003" w:usb1="2BDF3C10" w:usb2="00000016" w:usb3="00000000" w:csb0="603A0107" w:csb1="00000000"/>
  </w:font>
  <w:font w:name="Noto Sans Gujarati UI">
    <w:panose1 w:val="020B0502040504020204"/>
    <w:charset w:val="00"/>
    <w:family w:val="auto"/>
    <w:pitch w:val="default"/>
    <w:sig w:usb0="00040000" w:usb1="00000000" w:usb2="00000000" w:usb3="00000000" w:csb0="00000001" w:csb1="00000000"/>
  </w:font>
  <w:font w:name="Noto Sans Myanmar">
    <w:panose1 w:val="020B0502040504020204"/>
    <w:charset w:val="00"/>
    <w:family w:val="auto"/>
    <w:pitch w:val="default"/>
    <w:sig w:usb0="00000000" w:usb1="00000000" w:usb2="00000400" w:usb3="00000000" w:csb0="00000001" w:csb1="00000000"/>
  </w:font>
  <w:font w:name="方正宋体S-超大字符集">
    <w:panose1 w:val="02000000000000000000"/>
    <w:charset w:val="86"/>
    <w:family w:val="auto"/>
    <w:pitch w:val="default"/>
    <w:sig w:usb0="00000001" w:usb1="08000000" w:usb2="00000000" w:usb3="00000000" w:csb0="00040000" w:csb1="00000000"/>
  </w:font>
  <w:font w:name="Ubuntu Light">
    <w:panose1 w:val="020B0604030602030204"/>
    <w:charset w:val="00"/>
    <w:family w:val="auto"/>
    <w:pitch w:val="default"/>
    <w:sig w:usb0="E00002FF" w:usb1="5000205B" w:usb2="00000000" w:usb3="00000000" w:csb0="2000009F" w:csb1="56010000"/>
  </w:font>
  <w:font w:name="Wingdings">
    <w:panose1 w:val="05000000000000000000"/>
    <w:charset w:val="00"/>
    <w:family w:val="auto"/>
    <w:pitch w:val="default"/>
    <w:sig w:usb0="00000000" w:usb1="00000000" w:usb2="00000000" w:usb3="00000000" w:csb0="80000000" w:csb1="00000000"/>
  </w:font>
  <w:font w:name="URW Bookman L">
    <w:panose1 w:val="00000000000000000000"/>
    <w:charset w:val="00"/>
    <w:family w:val="auto"/>
    <w:pitch w:val="default"/>
    <w:sig w:usb0="00000000" w:usb1="00000000" w:usb2="00000000" w:usb3="00000000" w:csb0="0000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
      <w:adjustRightInd w:val="0"/>
      <w:jc w:val="center"/>
      <w:rPr>
        <w:rFonts w:ascii="Times New Roman" w:hAnsi="Times New Roman" w:cs="Times New Roman"/>
        <w:sz w:val="28"/>
        <w:szCs w:val="28"/>
      </w:rPr>
    </w:pPr>
    <w:bookmarkStart w:id="1" w:name="_GoBack"/>
    <w:bookmarkEnd w:id="1"/>
    <w:r>
      <w:rPr>
        <w:sz w:val="2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3" name="文本框 3"/>
              <wp:cNvGraphicFramePr/>
              <a:graphic xmlns:a="http://schemas.openxmlformats.org/drawingml/2006/main">
                <a:graphicData uri="http://schemas.microsoft.com/office/word/2010/wordprocessingShape">
                  <wps:wsp>
                    <wps:cNvSpPr txBox="true"/>
                    <wps:spPr>
                      <a:xfrm>
                        <a:off x="0" y="0"/>
                        <a:ext cx="1828800" cy="1828800"/>
                      </a:xfrm>
                      <a:prstGeom prst="rect">
                        <a:avLst/>
                      </a:prstGeom>
                      <a:noFill/>
                      <a:ln w="6350">
                        <a:noFill/>
                      </a:ln>
                      <a:extLst>
                        <a:ext uri="{909E8E84-426E-40DD-AFC4-6F175D3DCCD1}">
                          <a14:hiddenFill xmlns:a14="http://schemas.microsoft.com/office/drawing/2010/main">
                            <a:solidFill>
                              <a:schemeClr val="lt1"/>
                            </a:solidFill>
                          </a14:hiddenFill>
                        </a:ext>
                        <a:ext uri="{91240B29-F687-4F45-9708-019B960494DF}">
                          <a14:hiddenLine xmlns:a14="http://schemas.microsoft.com/office/drawing/2010/main" w="6350">
                            <a:solidFill>
                              <a:prstClr val="black"/>
                            </a:solidFill>
                          </a14:hiddenLine>
                        </a:ext>
                      </a:extLst>
                    </wps:spPr>
                    <wps:style>
                      <a:lnRef idx="0">
                        <a:schemeClr val="accent1"/>
                      </a:lnRef>
                      <a:fillRef idx="0">
                        <a:schemeClr val="accent1"/>
                      </a:fillRef>
                      <a:effectRef idx="0">
                        <a:schemeClr val="accent1"/>
                      </a:effectRef>
                      <a:fontRef idx="minor">
                        <a:schemeClr val="dk1"/>
                      </a:fontRef>
                    </wps:style>
                    <wps:txbx>
                      <w:txbxContent>
                        <w:p>
                          <w:pPr>
                            <w:pStyle w:val="2"/>
                          </w:pPr>
                          <w:r>
                            <w:rPr>
                              <w:rFonts w:hint="default" w:ascii="Times New Roman" w:hAnsi="Times New Roman" w:cs="Times New Roman"/>
                              <w:sz w:val="28"/>
                              <w:szCs w:val="28"/>
                            </w:rPr>
                            <w:fldChar w:fldCharType="begin"/>
                          </w:r>
                          <w:r>
                            <w:rPr>
                              <w:rFonts w:hint="default" w:ascii="Times New Roman" w:hAnsi="Times New Roman" w:cs="Times New Roman"/>
                              <w:sz w:val="28"/>
                              <w:szCs w:val="28"/>
                            </w:rPr>
                            <w:instrText xml:space="preserve"> PAGE  \* MERGEFORMAT </w:instrText>
                          </w:r>
                          <w:r>
                            <w:rPr>
                              <w:rFonts w:hint="default" w:ascii="Times New Roman" w:hAnsi="Times New Roman" w:cs="Times New Roman"/>
                              <w:sz w:val="28"/>
                              <w:szCs w:val="28"/>
                            </w:rPr>
                            <w:fldChar w:fldCharType="separate"/>
                          </w:r>
                          <w:r>
                            <w:rPr>
                              <w:rFonts w:hint="default" w:ascii="Times New Roman" w:hAnsi="Times New Roman" w:cs="Times New Roman"/>
                              <w:sz w:val="28"/>
                              <w:szCs w:val="28"/>
                            </w:rPr>
                            <w:t>1</w:t>
                          </w:r>
                          <w:r>
                            <w:rPr>
                              <w:rFonts w:hint="default" w:ascii="Times New Roman" w:hAnsi="Times New Roman" w:cs="Times New Roman"/>
                              <w:sz w:val="28"/>
                              <w:szCs w:val="28"/>
                            </w:rPr>
                            <w:fldChar w:fldCharType="end"/>
                          </w:r>
                        </w:p>
                      </w:txbxContent>
                    </wps:txbx>
                    <wps:bodyPr rot="0" spcFirstLastPara="0" vertOverflow="overflow" horzOverflow="overflow" vert="horz" wrap="none" lIns="0" tIns="0" rIns="0" bIns="0" numCol="1" spcCol="0" rtlCol="0" fromWordArt="false" anchor="t" anchorCtr="false" forceAA="false" upright="false" compatLnSpc="true">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FBgAAAAAAAAAAAAAAAAAAAAAAAFBLAwQKAAAAAACHTuJAAAAAAAAAAAAAAAAABAAAAGRycy9Q&#10;SwMEFAAAAAgAh07iQLNJWO7QAAAABQEAAA8AAABkcnMvZG93bnJldi54bWxNj0FLw0AQhe+C/2EZ&#10;oTe7aSsSYjYFS9OjYOPB4zY7JtHd2bC7TeO/dxRBL8M83vDme+V2dlZMGOLgScFqmYFAar0ZqFPw&#10;0tS3OYiYNBltPaGCT4ywra6vSl0Yf6FnnI6pExxCsdAK+pTGQsrY9uh0XPoRib03H5xOLEMnTdAX&#10;DndWrrPsXjo9EH/o9Yi7HtuP49kp2NVNEyaMwb7iod68Pz3e4X5WanGzyh5AJJzT3zF84zM6VMx0&#10;8mcyUVgFXCT9TPbWec7y9LvIqpT/6asvUEsDBBQAAAAIAIdO4kAHFBrmyQIAAOwFAAAOAAAAZHJz&#10;L2Uyb0RvYy54bWytVM2O0zAQviPxDpbv2SRttptUm666zQYhVexKC+LsOk4T4diW7f4siCu8AScu&#10;3HmufQ7GbtPuLgghoAd3nBnPzPfNz/nFtuNozbRppchxfBJhxASVVSuWOX7zugxSjIwloiJcCpbj&#10;O2bwxeT5s/ONGrOBbCSvmEbgRJjxRuW4sVaNw9DQhnXEnEjFBChrqTti4aqXYaXJBrx3PBxE0Sjc&#10;SF0pLSkzBr4WOyWeeP91zai9rmvDLOI5htysP7U/F+4MJ+dkvNRENS3dp0H+IouOtAKCHlwVxBK0&#10;0u1PrrqWamlkbU+o7EJZ1y1lHgOgiaMnaG4bopjHAuQYdaDJ/D+39NX6RqO2yvEQI0E6KNH9l8/3&#10;X7/ff/uEho6ejTJjsLpVYGe3l3KbY6tXrFcZ+O6Ab2vduX+AhMAEuL478Mu2FlH4GKeDNI1ARUHX&#10;XyBEeHyutLEvmOyQE3KsoYCeV7KeG7sz7U1cNCHLlnNfRC7QJsej4WnkHxw04JwLZwtZgI+9tCvO&#10;hyzKrtKrNAmSwegqSKKiCKblLAlGZXx2WgyL2ayIPzp/cTJu2qpiwsXrGyVO/qwQ+5bdlfjQKkby&#10;tnLuXEpGLxczrtGaQKOW/ucYhuQfmIWP0/BqQPUEUjxIostBFpSj9CxIyuQ0yM6iNIji7DIbRUmW&#10;FOVjSPNWsH+H9Ij9B0mTsSvYAduCE/rut9BcOkdowEBfuNC14q7fnGS3iy1Q5MSFrO6gPbXczbdR&#10;tGwh6JwYe0M0DDT0HCwpew1HzSX0idxLGDVSv//Vd2cP5QUtRhtYEDkWsMEw4i8FzJ/bJb2ge2HR&#10;C2LVzSQUMoblp6gX4YG2vBdrLbu3sLmmLkZNuAHHRFCIBtPVizMLt70SNiBl0+nhvlK6XTbHx7BN&#10;FLFzcavofj59V6npysKI+Mk5EgXsugusFM/zfv25nfXw7q2OS3ryA1BLAwQKAAAAAACHTuJAAAAA&#10;AAAAAAAAAAAABgAAAF9yZWxzL1BLAwQUAAAACACHTuJAihRmPNEAAACUAQAACwAAAF9yZWxzLy5y&#10;ZWxzpZDBasMwDIbvg72D0X1xmsMYo04vo9Br6R7A2IpjGltGMtn69vMOg2X0tqN+oe8T//7wmRa1&#10;IkukbGDX9aAwO/IxBwPvl+PTCyipNnu7UEYDNxQ4jI8P+zMutrYjmWMR1ShZDMy1lletxc2YrHRU&#10;MLfNRJxsbSMHXay72oB66Ptnzb8ZMG6Y6uQN8MkPoC630sx/2Ck6JqGpdo6SpmmK7h5VB7Zlju7I&#10;NuEbuUazHLAa8CwaB2pZ134EfV+/+6fe00c+47rVfoeM649Xb7ocvwBQSwMEFAAAAAgAh07iQH7m&#10;5SD3AAAA4QEAABMAAABbQ29udGVudF9UeXBlc10ueG1slZFBTsMwEEX3SNzB8hYlTrtACCXpgrRL&#10;QKgcYGRPEotkbHlMaG+Pk7YbRJFY2jP/vye73BzGQUwY2Dqq5CovpEDSzljqKvm+32UPUnAEMjA4&#10;wkoekeWmvr0p90ePLFKauJJ9jP5RKdY9jsC580hp0rowQkzH0CkP+gM6VOuiuFfaUUSKWZw7ZF02&#10;2MLnEMX2kK5PJgEHluLptDizKgneD1ZDTKZqIvODkp0JeUouO9xbz3dJQ6pfCfPkOuCce0lPE6xB&#10;8QohPsOYNJQJrIz7ooBT/nfJbDly5trWasybwE2KveF0sbrWjmvXOP3f8u2SunSr5YPqb1BLAQIU&#10;ABQAAAAIAIdO4kB+5uUg9wAAAOEBAAATAAAAAAAAAAEAIAAAAEgFAABbQ29udGVudF9UeXBlc10u&#10;eG1sUEsBAhQACgAAAAAAh07iQAAAAAAAAAAAAAAAAAYAAAAAAAAAAAAQAAAAKgQAAF9yZWxzL1BL&#10;AQIUABQAAAAIAIdO4kCKFGY80QAAAJQBAAALAAAAAAAAAAEAIAAAAE4EAABfcmVscy8ucmVsc1BL&#10;AQIUAAoAAAAAAIdO4kAAAAAAAAAAAAAAAAAEAAAAAAAAAAAAEAAAABYAAABkcnMvUEsBAhQAFAAA&#10;AAgAh07iQLNJWO7QAAAABQEAAA8AAAAAAAAAAQAgAAAAOAAAAGRycy9kb3ducmV2LnhtbFBLAQIU&#10;ABQAAAAIAIdO4kAHFBrmyQIAAOwFAAAOAAAAAAAAAAEAIAAAADUBAABkcnMvZTJvRG9jLnhtbFBL&#10;BQYAAAAABgAGAFkBAABwBgAAAAA=&#10;">
              <v:fill on="f" focussize="0,0"/>
              <v:stroke on="f" weight="0.5pt"/>
              <v:imagedata o:title=""/>
              <o:lock v:ext="edit" aspectratio="f"/>
              <v:textbox inset="0mm,0mm,0mm,0mm" style="mso-fit-shape-to-text:t;">
                <w:txbxContent>
                  <w:p>
                    <w:pPr>
                      <w:pStyle w:val="2"/>
                    </w:pPr>
                    <w:r>
                      <w:rPr>
                        <w:rFonts w:hint="default" w:ascii="Times New Roman" w:hAnsi="Times New Roman" w:cs="Times New Roman"/>
                        <w:sz w:val="28"/>
                        <w:szCs w:val="28"/>
                      </w:rPr>
                      <w:fldChar w:fldCharType="begin"/>
                    </w:r>
                    <w:r>
                      <w:rPr>
                        <w:rFonts w:hint="default" w:ascii="Times New Roman" w:hAnsi="Times New Roman" w:cs="Times New Roman"/>
                        <w:sz w:val="28"/>
                        <w:szCs w:val="28"/>
                      </w:rPr>
                      <w:instrText xml:space="preserve"> PAGE  \* MERGEFORMAT </w:instrText>
                    </w:r>
                    <w:r>
                      <w:rPr>
                        <w:rFonts w:hint="default" w:ascii="Times New Roman" w:hAnsi="Times New Roman" w:cs="Times New Roman"/>
                        <w:sz w:val="28"/>
                        <w:szCs w:val="28"/>
                      </w:rPr>
                      <w:fldChar w:fldCharType="separate"/>
                    </w:r>
                    <w:r>
                      <w:rPr>
                        <w:rFonts w:hint="default" w:ascii="Times New Roman" w:hAnsi="Times New Roman" w:cs="Times New Roman"/>
                        <w:sz w:val="28"/>
                        <w:szCs w:val="28"/>
                      </w:rPr>
                      <w:t>1</w:t>
                    </w:r>
                    <w:r>
                      <w:rPr>
                        <w:rFonts w:hint="default" w:ascii="Times New Roman" w:hAnsi="Times New Roman" w:cs="Times New Roman"/>
                        <w:sz w:val="28"/>
                        <w:szCs w:val="28"/>
                      </w:rPr>
                      <w:fldChar w:fldCharType="end"/>
                    </w:r>
                  </w:p>
                </w:txbxContent>
              </v:textbox>
            </v:shape>
          </w:pict>
        </mc:Fallback>
      </mc:AlternateContent>
    </w:r>
    <w:r>
      <w:rPr>
        <w:sz w:val="28"/>
      </w:rPr>
      <mc:AlternateContent>
        <mc:Choice Requires="wps">
          <w:drawing>
            <wp:anchor distT="0" distB="0" distL="114300" distR="114300" simplePos="0" relativeHeight="251658240"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true"/>
                    <wps:spPr>
                      <a:xfrm>
                        <a:off x="0" y="0"/>
                        <a:ext cx="1828800" cy="1828800"/>
                      </a:xfrm>
                      <a:prstGeom prst="rect">
                        <a:avLst/>
                      </a:prstGeom>
                      <a:noFill/>
                      <a:ln w="6350">
                        <a:noFill/>
                      </a:ln>
                      <a:extLst>
                        <a:ext uri="{909E8E84-426E-40DD-AFC4-6F175D3DCCD1}">
                          <a14:hiddenFill xmlns:a14="http://schemas.microsoft.com/office/drawing/2010/main">
                            <a:solidFill>
                              <a:schemeClr val="lt1"/>
                            </a:solidFill>
                          </a14:hiddenFill>
                        </a:ext>
                        <a:ext uri="{91240B29-F687-4F45-9708-019B960494DF}">
                          <a14:hiddenLine xmlns:a14="http://schemas.microsoft.com/office/drawing/2010/main" w="6350">
                            <a:solidFill>
                              <a:prstClr val="black"/>
                            </a:solidFill>
                          </a14:hiddenLine>
                        </a:ext>
                      </a:extLst>
                    </wps:spPr>
                    <wps:style>
                      <a:lnRef idx="0">
                        <a:schemeClr val="accent1"/>
                      </a:lnRef>
                      <a:fillRef idx="0">
                        <a:schemeClr val="accent1"/>
                      </a:fillRef>
                      <a:effectRef idx="0">
                        <a:schemeClr val="accent1"/>
                      </a:effectRef>
                      <a:fontRef idx="minor">
                        <a:schemeClr val="dk1"/>
                      </a:fontRef>
                    </wps:style>
                    <wps:txbx>
                      <w:txbxContent>
                        <w:p>
                          <w:pPr>
                            <w:rPr>
                              <w:rFonts w:ascii="Times New Roman" w:hAnsi="Times New Roman" w:cs="Times New Roman"/>
                              <w:sz w:val="28"/>
                              <w:szCs w:val="28"/>
                            </w:rPr>
                          </w:pPr>
                        </w:p>
                      </w:txbxContent>
                    </wps:txbx>
                    <wps:bodyPr rot="0" spcFirstLastPara="0" vertOverflow="overflow" horzOverflow="overflow" vert="horz" wrap="none" lIns="0" tIns="0" rIns="0" bIns="0" numCol="1" spcCol="0" rtlCol="0" fromWordArt="false" anchor="t" anchorCtr="false" forceAA="false" upright="false" compatLnSpc="true">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8240;mso-width-relative:page;mso-height-relative:page;" filled="f" stroked="f" coordsize="21600,21600" o:gfxdata="UEsFBgAAAAAAAAAAAAAAAAAAAAAAAFBLAwQKAAAAAACHTuJAAAAAAAAAAAAAAAAABAAAAGRycy9Q&#10;SwMEFAAAAAgAh07iQLNJWO7QAAAABQEAAA8AAABkcnMvZG93bnJldi54bWxNj0FLw0AQhe+C/2EZ&#10;oTe7aSsSYjYFS9OjYOPB4zY7JtHd2bC7TeO/dxRBL8M83vDme+V2dlZMGOLgScFqmYFAar0ZqFPw&#10;0tS3OYiYNBltPaGCT4ywra6vSl0Yf6FnnI6pExxCsdAK+pTGQsrY9uh0XPoRib03H5xOLEMnTdAX&#10;DndWrrPsXjo9EH/o9Yi7HtuP49kp2NVNEyaMwb7iod68Pz3e4X5WanGzyh5AJJzT3zF84zM6VMx0&#10;8mcyUVgFXCT9TPbWec7y9LvIqpT/6asvUEsDBBQAAAAIAIdO4kB2SFJLyAIAAOwFAAAOAAAAZHJz&#10;L2Uyb0RvYy54bWytVM2O0zAQviPxDpbv2STdbDepNl11mw1CqtiVCuLsOk4T4diW7f4siCu8AScu&#10;3HmufQ7GbtPuLgghoAd3nBnPzPfNz8XltuNozbRppchxfBJhxASVVSuWOX7zugxSjIwloiJcCpbj&#10;O2bw5fj5s4uNGrGBbCSvmEbgRJjRRuW4sVaNwtDQhnXEnEjFBChrqTti4aqXYaXJBrx3PBxE0TDc&#10;SF0pLSkzBr4WOyUee/91zai9qWvDLOI5htysP7U/F+4MxxdktNRENS3dp0H+IouOtAKCHlwVxBK0&#10;0u1PrrqWamlkbU+o7EJZ1y1lHgOgiaMnaOYNUcxjAXKMOtBk/p9b+mp9q1FbQe0wEqSDEt1/+Xz/&#10;9fv9t08odvRslBmB1VyBnd1eyW2OrV6xXmXguwO+rXXn/gESAhPg+u7AL9taROFjnA7SNAIVBV1/&#10;gRDh8bnSxr5gskNOyLGGAnpeyXpm7M60N3HRhCxbzn0RuUCbHA9PzyL/4KAB51w4W8gCfOylXXE+&#10;ZFF2nV6nSZAMhtdBEhVFMCmnSTAs4/Oz4rSYTov4o/MXJ6OmrSomXLy+UeLkzwqxb9ldiQ+tYiRv&#10;K+fOpWT0cjHlGq0JNGrpf45hSP6BWfg4Da8GVE8gxYMkuhpkQTlMz4OkTM6C7DxKgyjOrrJhlGRJ&#10;UT6GNGsF+3dIj9h/kDQZuYIdsC04oe9+C82lc4QGDPSFC10r7vrNSXa72AJFTlzI6g7aU8vdfBtF&#10;yxaCzoixt0TDQEPPwZKyN3DUXEKfyL2EUSP1+199d/ZQXtBitIEFkWMBGwwj/lLA/Lld0gu6Fxa9&#10;IFbdVEIhYaYgFy/CA215L9Zadm9hc01cjJpwA46JoBANpqsXpxZueyVsQMomk8N9pXS7bI6PYZso&#10;Ymdiruh+Pn1XqcnKwoj4yTkSBey6C6wUz/N+/bmd9fDurY5LevwD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RwUAAFtDb250ZW50X1R5cGVzXS54&#10;bWxQSwECFAAKAAAAAACHTuJAAAAAAAAAAAAAAAAABgAAAAAAAAAAABAAAAApBAAAX3JlbHMvUEsB&#10;AhQAFAAAAAgAh07iQIoUZjzRAAAAlAEAAAsAAAAAAAAAAQAgAAAATQQAAF9yZWxzLy5yZWxzUEsB&#10;AhQACgAAAAAAh07iQAAAAAAAAAAAAAAAAAQAAAAAAAAAAAAQAAAAFgAAAGRycy9QSwECFAAUAAAA&#10;CACHTuJAs0lY7tAAAAAFAQAADwAAAAAAAAABACAAAAA4AAAAZHJzL2Rvd25yZXYueG1sUEsBAhQA&#10;FAAAAAgAh07iQHZIUkvIAgAA7AUAAA4AAAAAAAAAAQAgAAAANQEAAGRycy9lMm9Eb2MueG1sUEsF&#10;BgAAAAAGAAYAWQEAAG8GAAAAAA==&#10;">
              <v:fill on="f" focussize="0,0"/>
              <v:stroke on="f" weight="0.5pt"/>
              <v:imagedata o:title=""/>
              <o:lock v:ext="edit" aspectratio="f"/>
              <v:textbox inset="0mm,0mm,0mm,0mm" style="mso-fit-shape-to-text:t;">
                <w:txbxContent>
                  <w:p>
                    <w:pPr>
                      <w:rPr>
                        <w:rFonts w:ascii="Times New Roman" w:hAnsi="Times New Roman" w:cs="Times New Roman"/>
                        <w:sz w:val="28"/>
                        <w:szCs w:val="28"/>
                      </w:rPr>
                    </w:pP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bordersDoNotSurroundHeader w:val="true"/>
  <w:bordersDoNotSurroundFooter w:val="true"/>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E0E3E"/>
    <w:rsid w:val="000E0E3E"/>
    <w:rsid w:val="000F3F9F"/>
    <w:rsid w:val="0013466A"/>
    <w:rsid w:val="001809D3"/>
    <w:rsid w:val="001F3707"/>
    <w:rsid w:val="00243276"/>
    <w:rsid w:val="00451E52"/>
    <w:rsid w:val="004A7C56"/>
    <w:rsid w:val="0051615A"/>
    <w:rsid w:val="00521C3C"/>
    <w:rsid w:val="00583C56"/>
    <w:rsid w:val="00585709"/>
    <w:rsid w:val="005F494F"/>
    <w:rsid w:val="006A255F"/>
    <w:rsid w:val="00716F61"/>
    <w:rsid w:val="0072281C"/>
    <w:rsid w:val="00750121"/>
    <w:rsid w:val="008658A7"/>
    <w:rsid w:val="00AA0BD9"/>
    <w:rsid w:val="00B40685"/>
    <w:rsid w:val="00BC7F4C"/>
    <w:rsid w:val="00C214A9"/>
    <w:rsid w:val="00C946B0"/>
    <w:rsid w:val="00D00138"/>
    <w:rsid w:val="00D666BC"/>
    <w:rsid w:val="00DF2B8E"/>
    <w:rsid w:val="00F26341"/>
    <w:rsid w:val="00F26619"/>
    <w:rsid w:val="00F70C5D"/>
    <w:rsid w:val="00F97211"/>
    <w:rsid w:val="00FB01E6"/>
    <w:rsid w:val="00FD7B86"/>
    <w:rsid w:val="9F3F532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5">
    <w:name w:val="Default Paragraph Font"/>
    <w:semiHidden/>
    <w:unhideWhenUsed/>
    <w:qFormat/>
    <w:uiPriority w:val="1"/>
  </w:style>
  <w:style w:type="table" w:default="1" w:styleId="4">
    <w:name w:val="Normal Table"/>
    <w:semiHidden/>
    <w:unhideWhenUsed/>
    <w:qFormat/>
    <w:uiPriority w:val="99"/>
    <w:tblPr>
      <w:tblCellMar>
        <w:top w:w="0" w:type="dxa"/>
        <w:left w:w="108" w:type="dxa"/>
        <w:bottom w:w="0" w:type="dxa"/>
        <w:right w:w="108" w:type="dxa"/>
      </w:tblCellMar>
    </w:tblPr>
  </w:style>
  <w:style w:type="paragraph" w:styleId="2">
    <w:name w:val="footer"/>
    <w:basedOn w:val="1"/>
    <w:link w:val="7"/>
    <w:unhideWhenUsed/>
    <w:qFormat/>
    <w:uiPriority w:val="99"/>
    <w:pPr>
      <w:tabs>
        <w:tab w:val="center" w:pos="4153"/>
        <w:tab w:val="right" w:pos="8306"/>
      </w:tabs>
      <w:snapToGrid w:val="0"/>
      <w:jc w:val="left"/>
    </w:pPr>
    <w:rPr>
      <w:sz w:val="18"/>
      <w:szCs w:val="18"/>
    </w:rPr>
  </w:style>
  <w:style w:type="paragraph" w:styleId="3">
    <w:name w:val="header"/>
    <w:basedOn w:val="1"/>
    <w:link w:val="6"/>
    <w:unhideWhenUsed/>
    <w:qFormat/>
    <w:uiPriority w:val="99"/>
    <w:pPr>
      <w:pBdr>
        <w:bottom w:val="single" w:color="auto" w:sz="6" w:space="1"/>
      </w:pBdr>
      <w:tabs>
        <w:tab w:val="center" w:pos="4153"/>
        <w:tab w:val="right" w:pos="8306"/>
      </w:tabs>
      <w:snapToGrid w:val="0"/>
      <w:jc w:val="center"/>
    </w:pPr>
    <w:rPr>
      <w:sz w:val="18"/>
      <w:szCs w:val="18"/>
    </w:rPr>
  </w:style>
  <w:style w:type="character" w:customStyle="1" w:styleId="6">
    <w:name w:val="页眉 字符"/>
    <w:basedOn w:val="5"/>
    <w:link w:val="3"/>
    <w:qFormat/>
    <w:uiPriority w:val="99"/>
    <w:rPr>
      <w:sz w:val="18"/>
      <w:szCs w:val="18"/>
    </w:rPr>
  </w:style>
  <w:style w:type="character" w:customStyle="1" w:styleId="7">
    <w:name w:val="页脚 字符"/>
    <w:basedOn w:val="5"/>
    <w:link w:val="2"/>
    <w:qFormat/>
    <w:uiPriority w:val="99"/>
    <w:rPr>
      <w:sz w:val="18"/>
      <w:szCs w:val="18"/>
    </w:rPr>
  </w:style>
  <w:style w:type="paragraph" w:styleId="8">
    <w:name w:val="List Paragraph"/>
    <w:basedOn w:val="1"/>
    <w:qFormat/>
    <w:uiPriority w:val="34"/>
    <w:pPr>
      <w:ind w:firstLine="420" w:firstLineChars="200"/>
    </w:p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true">
          <a:gsLst>
            <a:gs pos="0">
              <a:schemeClr val="phClr">
                <a:tint val="50000"/>
                <a:satMod val="300000"/>
              </a:schemeClr>
            </a:gs>
            <a:gs pos="35000">
              <a:schemeClr val="phClr">
                <a:tint val="37000"/>
                <a:satMod val="300000"/>
              </a:schemeClr>
            </a:gs>
            <a:gs pos="100000">
              <a:schemeClr val="phClr">
                <a:tint val="15000"/>
                <a:satMod val="350000"/>
              </a:schemeClr>
            </a:gs>
          </a:gsLst>
          <a:lin ang="16200000" scaled="true"/>
        </a:gradFill>
        <a:gradFill rotWithShape="true">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false"/>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true">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true">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5</Pages>
  <Words>395</Words>
  <Characters>2258</Characters>
  <Lines>18</Lines>
  <Paragraphs>5</Paragraphs>
  <TotalTime>2</TotalTime>
  <ScaleCrop>false</ScaleCrop>
  <LinksUpToDate>false</LinksUpToDate>
  <CharactersWithSpaces>2648</CharactersWithSpaces>
  <Application>WPS Office_11.8.2.9958_F1E327BC-269C-435d-A152-05C5408002CA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2021-04-01T12:29:00Z</dcterms:created>
  <dc:creator>药审中心</dc:creator>
  <cp:lastModifiedBy>zhanglc</cp:lastModifiedBy>
  <cp:lastPrinted>2021-04-08T15:37:00Z</cp:lastPrinted>
  <dcterms:modified xsi:type="dcterms:W3CDTF">2021-06-11T09:21:38Z</dcterms:modified>
  <cp:revision>7</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2052-11.8.2.9958</vt:lpwstr>
  </property>
</Properties>
</file>