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0000" w:rsidRDefault="007C639C">
      <w:pPr>
        <w:spacing w:line="520" w:lineRule="exact"/>
        <w:rPr>
          <w:rFonts w:ascii="黑体" w:eastAsia="黑体" w:hAnsi="华文仿宋"/>
          <w:sz w:val="32"/>
          <w:szCs w:val="32"/>
          <w:lang w:val="en"/>
        </w:rPr>
      </w:pPr>
      <w:r>
        <w:rPr>
          <w:rFonts w:ascii="黑体" w:eastAsia="黑体" w:hAnsi="华文仿宋" w:hint="eastAsia"/>
          <w:sz w:val="32"/>
          <w:szCs w:val="32"/>
        </w:rPr>
        <w:t>附件</w:t>
      </w:r>
      <w:r>
        <w:rPr>
          <w:rFonts w:ascii="黑体" w:eastAsia="黑体" w:hAnsi="华文仿宋"/>
          <w:sz w:val="32"/>
          <w:szCs w:val="32"/>
          <w:lang w:val="en"/>
        </w:rPr>
        <w:t>3</w:t>
      </w:r>
    </w:p>
    <w:p w:rsidR="00000000" w:rsidRDefault="007C639C">
      <w:pPr>
        <w:spacing w:line="520" w:lineRule="exact"/>
        <w:rPr>
          <w:rFonts w:ascii="黑体" w:eastAsia="黑体" w:hAnsi="华文仿宋"/>
          <w:sz w:val="32"/>
          <w:szCs w:val="32"/>
          <w:lang w:val="en"/>
        </w:rPr>
      </w:pPr>
    </w:p>
    <w:p w:rsidR="00000000" w:rsidRDefault="007C639C">
      <w:pPr>
        <w:spacing w:line="680" w:lineRule="exact"/>
        <w:jc w:val="center"/>
        <w:rPr>
          <w:rFonts w:ascii="方正小标宋简体" w:eastAsia="方正小标宋简体" w:hAnsi="方正小标宋简体" w:cs="方正小标宋简体" w:hint="eastAsia"/>
          <w:bCs/>
          <w:sz w:val="44"/>
          <w:szCs w:val="44"/>
          <w:lang w:val="en"/>
        </w:rPr>
      </w:pPr>
      <w:r>
        <w:rPr>
          <w:rFonts w:ascii="方正小标宋简体" w:eastAsia="方正小标宋简体" w:hAnsi="方正小标宋简体" w:cs="方正小标宋简体" w:hint="eastAsia"/>
          <w:bCs/>
          <w:sz w:val="44"/>
          <w:szCs w:val="44"/>
          <w:lang w:val="en"/>
        </w:rPr>
        <w:t>檀香清肺二十味丸中松香酸检查项</w:t>
      </w:r>
    </w:p>
    <w:p w:rsidR="00000000" w:rsidRDefault="007C639C">
      <w:pPr>
        <w:spacing w:line="680" w:lineRule="exact"/>
        <w:jc w:val="center"/>
        <w:rPr>
          <w:rFonts w:ascii="方正小标宋简体" w:eastAsia="方正小标宋简体" w:hAnsi="方正小标宋简体" w:cs="方正小标宋简体" w:hint="eastAsia"/>
          <w:bCs/>
          <w:sz w:val="44"/>
          <w:szCs w:val="44"/>
          <w:lang w:val="en"/>
        </w:rPr>
      </w:pPr>
      <w:r>
        <w:rPr>
          <w:rFonts w:ascii="方正小标宋简体" w:eastAsia="方正小标宋简体" w:hAnsi="方正小标宋简体" w:cs="方正小标宋简体" w:hint="eastAsia"/>
          <w:bCs/>
          <w:sz w:val="44"/>
          <w:szCs w:val="44"/>
          <w:lang w:val="en"/>
        </w:rPr>
        <w:t>补充检验方法</w:t>
      </w:r>
    </w:p>
    <w:p w:rsidR="00000000" w:rsidRDefault="007C639C">
      <w:pPr>
        <w:spacing w:line="580" w:lineRule="exact"/>
        <w:jc w:val="center"/>
        <w:rPr>
          <w:rFonts w:eastAsia="仿宋_GB2312"/>
          <w:bCs/>
          <w:sz w:val="32"/>
          <w:szCs w:val="32"/>
        </w:rPr>
      </w:pPr>
      <w:r>
        <w:rPr>
          <w:rFonts w:eastAsia="仿宋_GB2312"/>
          <w:bCs/>
          <w:sz w:val="32"/>
          <w:szCs w:val="32"/>
        </w:rPr>
        <w:t>（</w:t>
      </w:r>
      <w:r>
        <w:rPr>
          <w:rFonts w:eastAsia="仿宋_GB2312"/>
          <w:bCs/>
          <w:spacing w:val="-12"/>
          <w:sz w:val="32"/>
          <w:szCs w:val="32"/>
        </w:rPr>
        <w:t>BJY 202</w:t>
      </w:r>
      <w:r>
        <w:rPr>
          <w:rFonts w:eastAsia="仿宋_GB2312"/>
          <w:bCs/>
          <w:spacing w:val="-12"/>
          <w:sz w:val="32"/>
          <w:szCs w:val="32"/>
          <w:lang w:val="en"/>
        </w:rPr>
        <w:t>3</w:t>
      </w:r>
      <w:r>
        <w:rPr>
          <w:rFonts w:eastAsia="仿宋_GB2312"/>
          <w:bCs/>
          <w:spacing w:val="-12"/>
          <w:sz w:val="32"/>
          <w:szCs w:val="32"/>
        </w:rPr>
        <w:t>0</w:t>
      </w:r>
      <w:r>
        <w:rPr>
          <w:rFonts w:eastAsia="仿宋_GB2312"/>
          <w:bCs/>
          <w:spacing w:val="-12"/>
          <w:sz w:val="32"/>
          <w:szCs w:val="32"/>
          <w:lang w:val="en"/>
        </w:rPr>
        <w:t>3</w:t>
      </w:r>
      <w:r>
        <w:rPr>
          <w:rFonts w:eastAsia="仿宋_GB2312"/>
          <w:bCs/>
          <w:sz w:val="32"/>
          <w:szCs w:val="32"/>
        </w:rPr>
        <w:t>）</w:t>
      </w:r>
    </w:p>
    <w:p w:rsidR="00000000" w:rsidRDefault="007C639C">
      <w:pPr>
        <w:spacing w:line="580" w:lineRule="exact"/>
        <w:jc w:val="center"/>
        <w:rPr>
          <w:rFonts w:eastAsia="仿宋_GB2312"/>
          <w:b/>
          <w:sz w:val="32"/>
          <w:szCs w:val="32"/>
        </w:rPr>
      </w:pPr>
    </w:p>
    <w:p w:rsidR="00000000" w:rsidRDefault="007C639C">
      <w:pPr>
        <w:spacing w:line="580" w:lineRule="exact"/>
        <w:ind w:firstLineChars="200" w:firstLine="643"/>
        <w:rPr>
          <w:rFonts w:eastAsia="仿宋_GB2312"/>
          <w:sz w:val="32"/>
          <w:szCs w:val="32"/>
        </w:rPr>
      </w:pPr>
      <w:r>
        <w:rPr>
          <w:rFonts w:eastAsia="仿宋_GB2312"/>
          <w:b/>
          <w:bCs/>
          <w:sz w:val="32"/>
          <w:szCs w:val="32"/>
        </w:rPr>
        <w:t>【检查】松香酸</w:t>
      </w:r>
      <w:r>
        <w:rPr>
          <w:rFonts w:eastAsia="仿宋_GB2312"/>
          <w:b/>
          <w:bCs/>
          <w:sz w:val="32"/>
          <w:szCs w:val="32"/>
        </w:rPr>
        <w:t xml:space="preserve">  </w:t>
      </w:r>
      <w:r>
        <w:rPr>
          <w:rFonts w:eastAsia="仿宋_GB2312"/>
          <w:sz w:val="32"/>
          <w:szCs w:val="32"/>
        </w:rPr>
        <w:t>照高效液相色谱法（中国药典</w:t>
      </w:r>
      <w:r>
        <w:rPr>
          <w:rFonts w:eastAsia="仿宋_GB2312"/>
          <w:sz w:val="32"/>
          <w:szCs w:val="32"/>
        </w:rPr>
        <w:t>2020</w:t>
      </w:r>
      <w:r>
        <w:rPr>
          <w:rFonts w:eastAsia="仿宋_GB2312"/>
          <w:sz w:val="32"/>
          <w:szCs w:val="32"/>
        </w:rPr>
        <w:t>年版通则</w:t>
      </w:r>
      <w:r>
        <w:rPr>
          <w:rFonts w:eastAsia="仿宋_GB2312"/>
          <w:sz w:val="32"/>
          <w:szCs w:val="32"/>
        </w:rPr>
        <w:t>0512</w:t>
      </w:r>
      <w:r>
        <w:rPr>
          <w:rFonts w:eastAsia="仿宋_GB2312"/>
          <w:sz w:val="32"/>
          <w:szCs w:val="32"/>
        </w:rPr>
        <w:t>）测定。</w:t>
      </w:r>
    </w:p>
    <w:p w:rsidR="00000000" w:rsidRDefault="007C639C">
      <w:pPr>
        <w:spacing w:line="580" w:lineRule="exact"/>
        <w:ind w:firstLineChars="200" w:firstLine="643"/>
        <w:rPr>
          <w:rFonts w:eastAsia="仿宋_GB2312"/>
          <w:sz w:val="32"/>
          <w:szCs w:val="32"/>
        </w:rPr>
      </w:pPr>
      <w:r>
        <w:rPr>
          <w:rFonts w:eastAsia="仿宋_GB2312"/>
          <w:b/>
          <w:bCs/>
          <w:sz w:val="32"/>
          <w:szCs w:val="32"/>
        </w:rPr>
        <w:t>色谱条件与系统适用性试验</w:t>
      </w:r>
      <w:r>
        <w:rPr>
          <w:rFonts w:eastAsia="仿宋_GB2312"/>
          <w:b/>
          <w:bCs/>
          <w:sz w:val="32"/>
          <w:szCs w:val="32"/>
        </w:rPr>
        <w:t xml:space="preserve">  </w:t>
      </w:r>
      <w:r>
        <w:rPr>
          <w:rFonts w:eastAsia="仿宋_GB2312"/>
          <w:sz w:val="32"/>
          <w:szCs w:val="32"/>
        </w:rPr>
        <w:t>以十八烷基硅烷键合硅胶为填充剂；以乙腈</w:t>
      </w:r>
      <w:r>
        <w:rPr>
          <w:rFonts w:eastAsia="仿宋_GB2312"/>
          <w:sz w:val="32"/>
          <w:szCs w:val="32"/>
        </w:rPr>
        <w:t>-0.1%</w:t>
      </w:r>
      <w:r>
        <w:rPr>
          <w:rFonts w:eastAsia="仿宋_GB2312"/>
          <w:sz w:val="32"/>
          <w:szCs w:val="32"/>
        </w:rPr>
        <w:t>甲酸（</w:t>
      </w:r>
      <w:r>
        <w:rPr>
          <w:rFonts w:eastAsia="仿宋_GB2312"/>
          <w:sz w:val="32"/>
          <w:szCs w:val="32"/>
        </w:rPr>
        <w:t>74:26</w:t>
      </w:r>
      <w:r>
        <w:rPr>
          <w:rFonts w:eastAsia="仿宋_GB2312"/>
          <w:sz w:val="32"/>
          <w:szCs w:val="32"/>
        </w:rPr>
        <w:t>）为流动相；检测波长为</w:t>
      </w:r>
      <w:r>
        <w:rPr>
          <w:rFonts w:eastAsia="仿宋_GB2312"/>
          <w:sz w:val="32"/>
          <w:szCs w:val="32"/>
        </w:rPr>
        <w:t>241 nm</w:t>
      </w:r>
      <w:r>
        <w:rPr>
          <w:rFonts w:eastAsia="仿宋_GB2312"/>
          <w:sz w:val="32"/>
          <w:szCs w:val="32"/>
        </w:rPr>
        <w:t>。理论板数按松香酸峰计算应不低于</w:t>
      </w:r>
      <w:r>
        <w:rPr>
          <w:rFonts w:eastAsia="仿宋_GB2312"/>
          <w:sz w:val="32"/>
          <w:szCs w:val="32"/>
        </w:rPr>
        <w:t>3000</w:t>
      </w:r>
      <w:r>
        <w:rPr>
          <w:rFonts w:eastAsia="仿宋_GB2312"/>
          <w:sz w:val="32"/>
          <w:szCs w:val="32"/>
        </w:rPr>
        <w:t>。</w:t>
      </w:r>
    </w:p>
    <w:p w:rsidR="00000000" w:rsidRDefault="007C639C">
      <w:pPr>
        <w:spacing w:line="580" w:lineRule="exact"/>
        <w:ind w:firstLineChars="200" w:firstLine="643"/>
        <w:rPr>
          <w:rFonts w:eastAsia="仿宋_GB2312"/>
          <w:sz w:val="32"/>
          <w:szCs w:val="32"/>
        </w:rPr>
      </w:pPr>
      <w:r>
        <w:rPr>
          <w:rFonts w:eastAsia="仿宋_GB2312"/>
          <w:b/>
          <w:bCs/>
          <w:sz w:val="32"/>
          <w:szCs w:val="32"/>
        </w:rPr>
        <w:t>对照溶液的制备（临用新制）</w:t>
      </w:r>
      <w:r>
        <w:rPr>
          <w:rFonts w:eastAsia="仿宋_GB2312"/>
          <w:b/>
          <w:bCs/>
          <w:sz w:val="32"/>
          <w:szCs w:val="32"/>
        </w:rPr>
        <w:t xml:space="preserve"> </w:t>
      </w:r>
      <w:r>
        <w:rPr>
          <w:rFonts w:eastAsia="仿宋_GB2312"/>
          <w:sz w:val="32"/>
          <w:szCs w:val="32"/>
        </w:rPr>
        <w:t>取松香酸对照品适量，精密称定，加乙醇制成每</w:t>
      </w:r>
      <w:r>
        <w:rPr>
          <w:rFonts w:eastAsia="仿宋_GB2312"/>
          <w:sz w:val="32"/>
          <w:szCs w:val="32"/>
        </w:rPr>
        <w:t>1ml</w:t>
      </w:r>
      <w:r>
        <w:rPr>
          <w:rFonts w:eastAsia="仿宋_GB2312"/>
          <w:sz w:val="32"/>
          <w:szCs w:val="32"/>
        </w:rPr>
        <w:t>含</w:t>
      </w:r>
      <w:r>
        <w:rPr>
          <w:rFonts w:eastAsia="仿宋_GB2312"/>
          <w:sz w:val="32"/>
          <w:szCs w:val="32"/>
        </w:rPr>
        <w:t>2µg</w:t>
      </w:r>
      <w:r>
        <w:rPr>
          <w:rFonts w:eastAsia="仿宋_GB2312"/>
          <w:sz w:val="32"/>
          <w:szCs w:val="32"/>
        </w:rPr>
        <w:t>的溶液，作为对照品溶液。另取</w:t>
      </w:r>
      <w:r>
        <w:rPr>
          <w:rFonts w:eastAsia="仿宋_GB2312"/>
          <w:sz w:val="32"/>
          <w:szCs w:val="32"/>
        </w:rPr>
        <w:t>11-</w:t>
      </w:r>
      <w:r>
        <w:rPr>
          <w:rFonts w:eastAsia="仿宋_GB2312"/>
          <w:sz w:val="32"/>
          <w:szCs w:val="32"/>
        </w:rPr>
        <w:t>羰基</w:t>
      </w:r>
      <w:r>
        <w:rPr>
          <w:rFonts w:eastAsia="仿宋_GB2312"/>
          <w:sz w:val="32"/>
          <w:szCs w:val="32"/>
        </w:rPr>
        <w:t>-β-</w:t>
      </w:r>
      <w:r>
        <w:rPr>
          <w:rFonts w:eastAsia="仿宋_GB2312"/>
          <w:sz w:val="32"/>
          <w:szCs w:val="32"/>
        </w:rPr>
        <w:t>乙酰乳香酸对照品适量，精密称定，加乙醇制成每</w:t>
      </w:r>
      <w:r>
        <w:rPr>
          <w:rFonts w:eastAsia="仿宋_GB2312"/>
          <w:sz w:val="32"/>
          <w:szCs w:val="32"/>
        </w:rPr>
        <w:t>1ml</w:t>
      </w:r>
      <w:r>
        <w:rPr>
          <w:rFonts w:eastAsia="仿宋_GB2312"/>
          <w:sz w:val="32"/>
          <w:szCs w:val="32"/>
        </w:rPr>
        <w:t>含</w:t>
      </w:r>
      <w:r>
        <w:rPr>
          <w:rFonts w:eastAsia="仿宋_GB2312"/>
          <w:sz w:val="32"/>
          <w:szCs w:val="32"/>
        </w:rPr>
        <w:t>2µg</w:t>
      </w:r>
      <w:r>
        <w:rPr>
          <w:rFonts w:eastAsia="仿宋_GB2312"/>
          <w:sz w:val="32"/>
          <w:szCs w:val="32"/>
        </w:rPr>
        <w:t>的溶液，作为参照溶液。</w:t>
      </w:r>
    </w:p>
    <w:p w:rsidR="00000000" w:rsidRDefault="007C639C">
      <w:pPr>
        <w:spacing w:line="580" w:lineRule="exact"/>
        <w:ind w:firstLineChars="200" w:firstLine="643"/>
        <w:rPr>
          <w:rFonts w:eastAsia="仿宋_GB2312"/>
          <w:sz w:val="32"/>
          <w:szCs w:val="32"/>
        </w:rPr>
      </w:pPr>
      <w:r>
        <w:rPr>
          <w:rFonts w:eastAsia="仿宋_GB2312"/>
          <w:b/>
          <w:bCs/>
          <w:sz w:val="32"/>
          <w:szCs w:val="32"/>
        </w:rPr>
        <w:t>供试品溶液的制备</w:t>
      </w:r>
      <w:r>
        <w:rPr>
          <w:rFonts w:eastAsia="仿宋_GB2312"/>
          <w:b/>
          <w:bCs/>
          <w:sz w:val="32"/>
          <w:szCs w:val="32"/>
        </w:rPr>
        <w:t xml:space="preserve"> </w:t>
      </w:r>
      <w:r>
        <w:rPr>
          <w:rFonts w:eastAsia="仿宋_GB2312"/>
          <w:sz w:val="32"/>
          <w:szCs w:val="32"/>
        </w:rPr>
        <w:t>取本品，研细，取</w:t>
      </w:r>
      <w:r>
        <w:rPr>
          <w:rFonts w:eastAsia="仿宋_GB2312"/>
          <w:sz w:val="32"/>
          <w:szCs w:val="32"/>
        </w:rPr>
        <w:t>0.2g</w:t>
      </w:r>
      <w:r>
        <w:rPr>
          <w:rFonts w:eastAsia="仿宋_GB2312"/>
          <w:sz w:val="32"/>
          <w:szCs w:val="32"/>
        </w:rPr>
        <w:t>，精密称定，精密加入乙醇</w:t>
      </w:r>
      <w:r>
        <w:rPr>
          <w:rFonts w:eastAsia="仿宋_GB2312"/>
          <w:sz w:val="32"/>
          <w:szCs w:val="32"/>
        </w:rPr>
        <w:t>20ml</w:t>
      </w:r>
      <w:r>
        <w:rPr>
          <w:rFonts w:eastAsia="仿宋_GB2312"/>
          <w:sz w:val="32"/>
          <w:szCs w:val="32"/>
        </w:rPr>
        <w:t>，称定重量，超声处理</w:t>
      </w:r>
      <w:r>
        <w:rPr>
          <w:rFonts w:eastAsia="仿宋_GB2312"/>
          <w:sz w:val="32"/>
          <w:szCs w:val="32"/>
        </w:rPr>
        <w:t>20</w:t>
      </w:r>
      <w:r>
        <w:rPr>
          <w:rFonts w:eastAsia="仿宋_GB2312"/>
          <w:sz w:val="32"/>
          <w:szCs w:val="32"/>
        </w:rPr>
        <w:t>分钟，放冷，再称定重量，用乙醇补足减失的重量，摇匀，滤过，取续滤液，即得。</w:t>
      </w:r>
    </w:p>
    <w:p w:rsidR="00000000" w:rsidRDefault="007C639C">
      <w:pPr>
        <w:spacing w:line="580" w:lineRule="exact"/>
        <w:ind w:firstLineChars="200" w:firstLine="643"/>
        <w:rPr>
          <w:rFonts w:eastAsia="仿宋_GB2312"/>
          <w:sz w:val="32"/>
          <w:szCs w:val="32"/>
        </w:rPr>
      </w:pPr>
      <w:r>
        <w:rPr>
          <w:rFonts w:eastAsia="仿宋_GB2312"/>
          <w:b/>
          <w:bCs/>
          <w:sz w:val="32"/>
          <w:szCs w:val="32"/>
        </w:rPr>
        <w:t>测定法</w:t>
      </w:r>
      <w:r>
        <w:rPr>
          <w:rFonts w:eastAsia="仿宋_GB2312"/>
          <w:b/>
          <w:bCs/>
          <w:sz w:val="32"/>
          <w:szCs w:val="32"/>
        </w:rPr>
        <w:t xml:space="preserve">  </w:t>
      </w:r>
      <w:r>
        <w:rPr>
          <w:rFonts w:eastAsia="仿宋_GB2312"/>
          <w:sz w:val="32"/>
          <w:szCs w:val="32"/>
        </w:rPr>
        <w:t>分别精密吸取供试品溶液、对照品溶液与参照溶液各</w:t>
      </w:r>
      <w:r>
        <w:rPr>
          <w:rFonts w:eastAsia="仿宋_GB2312"/>
          <w:sz w:val="32"/>
          <w:szCs w:val="32"/>
        </w:rPr>
        <w:t>10µl</w:t>
      </w:r>
      <w:r>
        <w:rPr>
          <w:rFonts w:eastAsia="仿宋_GB2312"/>
          <w:sz w:val="32"/>
          <w:szCs w:val="32"/>
        </w:rPr>
        <w:t>，注入液相色谱仪，记录色谱图。</w:t>
      </w:r>
    </w:p>
    <w:p w:rsidR="00000000" w:rsidRDefault="007C639C">
      <w:pPr>
        <w:spacing w:line="580" w:lineRule="exact"/>
        <w:ind w:firstLineChars="200" w:firstLine="643"/>
        <w:rPr>
          <w:rFonts w:eastAsia="仿宋_GB2312"/>
          <w:sz w:val="32"/>
          <w:szCs w:val="32"/>
        </w:rPr>
      </w:pPr>
      <w:r>
        <w:rPr>
          <w:rFonts w:eastAsia="仿宋_GB2312"/>
          <w:b/>
          <w:bCs/>
          <w:sz w:val="32"/>
          <w:szCs w:val="32"/>
        </w:rPr>
        <w:t>结果判定</w:t>
      </w:r>
      <w:r>
        <w:rPr>
          <w:rFonts w:eastAsia="仿宋_GB2312"/>
          <w:b/>
          <w:bCs/>
          <w:sz w:val="32"/>
          <w:szCs w:val="32"/>
        </w:rPr>
        <w:t xml:space="preserve"> </w:t>
      </w:r>
      <w:r>
        <w:rPr>
          <w:rFonts w:eastAsia="仿宋_GB2312"/>
          <w:sz w:val="32"/>
          <w:szCs w:val="32"/>
        </w:rPr>
        <w:t xml:space="preserve"> </w:t>
      </w:r>
      <w:r>
        <w:rPr>
          <w:rFonts w:eastAsia="仿宋_GB2312"/>
          <w:sz w:val="32"/>
          <w:szCs w:val="32"/>
        </w:rPr>
        <w:t>供试品色谱中，在与松香酸对照品溶液色谱峰保留时间相应的位置上不得出现相同的色谱峰。若出现保</w:t>
      </w:r>
      <w:r>
        <w:rPr>
          <w:rFonts w:eastAsia="仿宋_GB2312"/>
          <w:sz w:val="32"/>
          <w:szCs w:val="32"/>
        </w:rPr>
        <w:t>留时间相</w:t>
      </w:r>
      <w:r>
        <w:rPr>
          <w:rFonts w:eastAsia="仿宋_GB2312"/>
          <w:sz w:val="32"/>
          <w:szCs w:val="32"/>
        </w:rPr>
        <w:lastRenderedPageBreak/>
        <w:t>同的色谱峰，采用二极管阵列检测器比较相应色谱峰的紫外</w:t>
      </w:r>
      <w:r>
        <w:rPr>
          <w:rFonts w:eastAsia="仿宋_GB2312"/>
          <w:sz w:val="32"/>
          <w:szCs w:val="32"/>
        </w:rPr>
        <w:t>-</w:t>
      </w:r>
      <w:r>
        <w:rPr>
          <w:rFonts w:eastAsia="仿宋_GB2312"/>
          <w:sz w:val="32"/>
          <w:szCs w:val="32"/>
        </w:rPr>
        <w:t>可见吸收光谱，吸收光谱应不同（松香酸对照品色谱峰在</w:t>
      </w:r>
      <w:r>
        <w:rPr>
          <w:rFonts w:eastAsia="仿宋_GB2312"/>
          <w:sz w:val="32"/>
          <w:szCs w:val="32"/>
        </w:rPr>
        <w:t>241nm</w:t>
      </w:r>
      <w:r>
        <w:rPr>
          <w:rFonts w:eastAsia="仿宋_GB2312"/>
          <w:sz w:val="32"/>
          <w:szCs w:val="32"/>
        </w:rPr>
        <w:t>显示最大吸收）；若吸收光谱相同，且该色谱峰的峰面积大于</w:t>
      </w:r>
      <w:r>
        <w:rPr>
          <w:rFonts w:eastAsia="仿宋_GB2312"/>
          <w:sz w:val="32"/>
          <w:szCs w:val="32"/>
        </w:rPr>
        <w:t>11-</w:t>
      </w:r>
      <w:r>
        <w:rPr>
          <w:rFonts w:eastAsia="仿宋_GB2312"/>
          <w:sz w:val="32"/>
          <w:szCs w:val="32"/>
        </w:rPr>
        <w:t>羰基</w:t>
      </w:r>
      <w:r>
        <w:rPr>
          <w:rFonts w:eastAsia="仿宋_GB2312"/>
          <w:sz w:val="32"/>
          <w:szCs w:val="32"/>
        </w:rPr>
        <w:t>-β-</w:t>
      </w:r>
      <w:r>
        <w:rPr>
          <w:rFonts w:eastAsia="仿宋_GB2312"/>
          <w:sz w:val="32"/>
          <w:szCs w:val="32"/>
        </w:rPr>
        <w:t>乙酰乳香酸参照溶液色谱峰的峰面积值，则视为阳性检出。</w:t>
      </w:r>
      <w:r>
        <w:rPr>
          <w:rFonts w:eastAsia="仿宋_GB2312"/>
          <w:sz w:val="32"/>
          <w:szCs w:val="32"/>
        </w:rPr>
        <w:t xml:space="preserve"> </w:t>
      </w:r>
    </w:p>
    <w:p w:rsidR="00000000" w:rsidRDefault="007C639C">
      <w:pPr>
        <w:spacing w:line="580" w:lineRule="exact"/>
        <w:ind w:firstLineChars="200" w:firstLine="643"/>
        <w:rPr>
          <w:rFonts w:eastAsia="仿宋_GB2312"/>
          <w:b/>
          <w:bCs/>
          <w:sz w:val="32"/>
          <w:szCs w:val="32"/>
        </w:rPr>
      </w:pPr>
    </w:p>
    <w:p w:rsidR="00000000" w:rsidRDefault="007C639C">
      <w:pPr>
        <w:spacing w:line="580" w:lineRule="exact"/>
        <w:ind w:firstLineChars="200" w:firstLine="643"/>
        <w:rPr>
          <w:rFonts w:eastAsia="仿宋_GB2312"/>
          <w:sz w:val="32"/>
          <w:szCs w:val="32"/>
        </w:rPr>
      </w:pPr>
      <w:r>
        <w:rPr>
          <w:rFonts w:eastAsia="仿宋_GB2312"/>
          <w:b/>
          <w:bCs/>
          <w:sz w:val="32"/>
          <w:szCs w:val="32"/>
        </w:rPr>
        <w:t>备注：</w:t>
      </w:r>
      <w:r>
        <w:rPr>
          <w:rFonts w:eastAsia="仿宋_GB2312"/>
          <w:sz w:val="32"/>
          <w:szCs w:val="32"/>
        </w:rPr>
        <w:t>必要时，可采用高效液相色谱</w:t>
      </w:r>
      <w:r>
        <w:rPr>
          <w:rFonts w:eastAsia="仿宋_GB2312"/>
          <w:sz w:val="32"/>
          <w:szCs w:val="32"/>
        </w:rPr>
        <w:t>-</w:t>
      </w:r>
      <w:r>
        <w:rPr>
          <w:rFonts w:eastAsia="仿宋_GB2312"/>
          <w:sz w:val="32"/>
          <w:szCs w:val="32"/>
        </w:rPr>
        <w:t>质谱联用方法验证。</w:t>
      </w:r>
    </w:p>
    <w:p w:rsidR="00000000" w:rsidRDefault="007C639C">
      <w:pPr>
        <w:spacing w:line="580" w:lineRule="exact"/>
        <w:ind w:firstLineChars="200" w:firstLine="640"/>
        <w:rPr>
          <w:rFonts w:eastAsia="仿宋_GB2312"/>
          <w:sz w:val="32"/>
          <w:szCs w:val="32"/>
        </w:rPr>
      </w:pPr>
    </w:p>
    <w:p w:rsidR="00000000" w:rsidRDefault="007C639C">
      <w:pPr>
        <w:spacing w:line="580" w:lineRule="exact"/>
        <w:ind w:firstLineChars="200" w:firstLine="643"/>
        <w:rPr>
          <w:rFonts w:eastAsia="仿宋_GB2312"/>
          <w:sz w:val="32"/>
          <w:szCs w:val="32"/>
        </w:rPr>
      </w:pPr>
      <w:r>
        <w:rPr>
          <w:rFonts w:eastAsia="仿宋_GB2312"/>
          <w:b/>
          <w:bCs/>
          <w:sz w:val="32"/>
          <w:szCs w:val="32"/>
        </w:rPr>
        <w:t>起草单位：</w:t>
      </w:r>
      <w:r>
        <w:rPr>
          <w:rFonts w:eastAsia="仿宋_GB2312"/>
          <w:sz w:val="32"/>
          <w:szCs w:val="32"/>
        </w:rPr>
        <w:t>连云港市食品药品检验检测中心</w:t>
      </w:r>
    </w:p>
    <w:p w:rsidR="00000000" w:rsidRDefault="007C639C">
      <w:pPr>
        <w:spacing w:line="580" w:lineRule="exact"/>
        <w:ind w:firstLineChars="200" w:firstLine="643"/>
        <w:rPr>
          <w:rFonts w:eastAsia="仿宋_GB2312"/>
          <w:sz w:val="32"/>
          <w:szCs w:val="32"/>
        </w:rPr>
      </w:pPr>
      <w:r>
        <w:rPr>
          <w:rFonts w:eastAsia="仿宋_GB2312"/>
          <w:b/>
          <w:bCs/>
          <w:sz w:val="32"/>
          <w:szCs w:val="32"/>
        </w:rPr>
        <w:t>复核单位：</w:t>
      </w:r>
      <w:r>
        <w:rPr>
          <w:rFonts w:eastAsia="仿宋_GB2312"/>
          <w:sz w:val="32"/>
          <w:szCs w:val="32"/>
        </w:rPr>
        <w:t>海南省药品检验所</w:t>
      </w:r>
    </w:p>
    <w:p w:rsidR="00000000" w:rsidRDefault="007C639C">
      <w:pPr>
        <w:spacing w:line="580" w:lineRule="exact"/>
        <w:ind w:firstLineChars="200" w:firstLine="640"/>
        <w:rPr>
          <w:rFonts w:eastAsia="仿宋_GB2312"/>
          <w:sz w:val="32"/>
          <w:szCs w:val="32"/>
          <w:lang w:val="en"/>
        </w:rPr>
      </w:pPr>
      <w:r>
        <w:rPr>
          <w:rFonts w:eastAsia="仿宋_GB2312"/>
          <w:sz w:val="32"/>
          <w:szCs w:val="32"/>
          <w:lang w:val="en"/>
        </w:rPr>
        <w:t xml:space="preserve">          </w:t>
      </w:r>
      <w:r>
        <w:rPr>
          <w:rFonts w:eastAsia="仿宋_GB2312"/>
          <w:sz w:val="32"/>
          <w:szCs w:val="32"/>
          <w:lang w:val="en"/>
        </w:rPr>
        <w:t>云南省食品药品监督检验研究院</w:t>
      </w:r>
    </w:p>
    <w:p w:rsidR="00BB7B95" w:rsidRDefault="00BB7B95" w:rsidP="00BB7B95">
      <w:pPr>
        <w:widowControl/>
        <w:spacing w:line="590" w:lineRule="exact"/>
        <w:rPr>
          <w:rFonts w:eastAsia="仿宋_GB2312"/>
          <w:bCs/>
          <w:sz w:val="32"/>
          <w:szCs w:val="32"/>
        </w:rPr>
      </w:pPr>
      <w:bookmarkStart w:id="0" w:name="_GoBack"/>
      <w:bookmarkEnd w:id="0"/>
    </w:p>
    <w:sectPr w:rsidR="00BB7B95">
      <w:footerReference w:type="default" r:id="rId6"/>
      <w:pgSz w:w="11906" w:h="16838"/>
      <w:pgMar w:top="1928" w:right="1531" w:bottom="1814" w:left="1531" w:header="851" w:footer="1361" w:gutter="0"/>
      <w:cols w:space="720"/>
      <w:docGrid w:type="linesAndChar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C639C" w:rsidRDefault="007C639C">
      <w:r>
        <w:separator/>
      </w:r>
    </w:p>
  </w:endnote>
  <w:endnote w:type="continuationSeparator" w:id="0">
    <w:p w:rsidR="007C639C" w:rsidRDefault="007C63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华文仿宋">
    <w:panose1 w:val="02010600040101010101"/>
    <w:charset w:val="86"/>
    <w:family w:val="auto"/>
    <w:pitch w:val="variable"/>
    <w:sig w:usb0="00000287" w:usb1="080F0000" w:usb2="00000010" w:usb3="00000000" w:csb0="0004009F"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0000" w:rsidRDefault="0037661D">
    <w:pPr>
      <w:pStyle w:val="a6"/>
    </w:pPr>
    <w:r>
      <w:rPr>
        <w:noProof/>
      </w:rPr>
      <mc:AlternateContent>
        <mc:Choice Requires="wps">
          <w:drawing>
            <wp:anchor distT="0" distB="0" distL="114300" distR="114300" simplePos="0" relativeHeight="251657728" behindDoc="0" locked="0" layoutInCell="1" allowOverlap="1">
              <wp:simplePos x="0" y="0"/>
              <wp:positionH relativeFrom="margin">
                <wp:align>outside</wp:align>
              </wp:positionH>
              <wp:positionV relativeFrom="paragraph">
                <wp:posOffset>0</wp:posOffset>
              </wp:positionV>
              <wp:extent cx="978535" cy="230505"/>
              <wp:effectExtent l="635" t="0" r="1905" b="0"/>
              <wp:wrapNone/>
              <wp:docPr id="1" name="文本框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8535" cy="230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Lst>
                    </wps:spPr>
                    <wps:txbx>
                      <w:txbxContent>
                        <w:p w:rsidR="00000000" w:rsidRDefault="007C639C">
                          <w:pPr>
                            <w:pStyle w:val="a6"/>
                            <w:rPr>
                              <w:rFonts w:hint="eastAsia"/>
                            </w:rPr>
                          </w:pPr>
                          <w:r>
                            <w:rPr>
                              <w:rFonts w:hint="eastAsia"/>
                              <w:color w:val="FFFFFF"/>
                              <w:sz w:val="28"/>
                              <w:szCs w:val="28"/>
                            </w:rPr>
                            <w:t>—</w:t>
                          </w:r>
                          <w:r>
                            <w:rPr>
                              <w:rFonts w:hint="eastAsia"/>
                              <w:sz w:val="28"/>
                              <w:szCs w:val="28"/>
                            </w:rPr>
                            <w:t>—</w:t>
                          </w:r>
                          <w:r>
                            <w:rPr>
                              <w:rFonts w:hint="eastAsia"/>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sidR="00BB7B95">
                            <w:rPr>
                              <w:noProof/>
                              <w:sz w:val="28"/>
                              <w:szCs w:val="28"/>
                            </w:rPr>
                            <w:t>2</w:t>
                          </w:r>
                          <w:r>
                            <w:rPr>
                              <w:sz w:val="28"/>
                              <w:szCs w:val="28"/>
                            </w:rPr>
                            <w:fldChar w:fldCharType="end"/>
                          </w:r>
                          <w:r>
                            <w:rPr>
                              <w:rFonts w:hint="eastAsia"/>
                              <w:sz w:val="28"/>
                              <w:szCs w:val="28"/>
                            </w:rPr>
                            <w:t xml:space="preserve"> </w:t>
                          </w:r>
                          <w:r>
                            <w:rPr>
                              <w:rFonts w:hint="eastAsia"/>
                              <w:sz w:val="28"/>
                              <w:szCs w:val="28"/>
                            </w:rPr>
                            <w:t>—</w:t>
                          </w:r>
                          <w:r>
                            <w:rPr>
                              <w:rFonts w:hint="eastAsia"/>
                              <w:color w:val="FFFFFF"/>
                              <w:sz w:val="28"/>
                              <w:szCs w:val="28"/>
                            </w:rPr>
                            <w:t>—</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3" o:spid="_x0000_s1026" type="#_x0000_t202" style="position:absolute;margin-left:25.85pt;margin-top:0;width:77.05pt;height:18.15pt;z-index:251657728;visibility:visible;mso-wrap-style:none;mso-width-percent:0;mso-height-percent:0;mso-wrap-distance-left:9pt;mso-wrap-distance-top:0;mso-wrap-distance-right:9pt;mso-wrap-distance-bottom:0;mso-position-horizontal:outsid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" filled="f" stroked="f">
              <v:textbox style="mso-fit-shape-to-text:t" inset="0,0,0,0">
                <w:txbxContent>
                  <w:p w:rsidR="00000000" w:rsidRDefault="007C639C">
                    <w:pPr>
                      <w:pStyle w:val="a6"/>
                      <w:rPr>
                        <w:rFonts w:hint="eastAsia"/>
                      </w:rPr>
                    </w:pPr>
                    <w:r>
                      <w:rPr>
                        <w:rFonts w:hint="eastAsia"/>
                        <w:color w:val="FFFFFF"/>
                        <w:sz w:val="28"/>
                        <w:szCs w:val="28"/>
                      </w:rPr>
                      <w:t>—</w:t>
                    </w:r>
                    <w:r>
                      <w:rPr>
                        <w:rFonts w:hint="eastAsia"/>
                        <w:sz w:val="28"/>
                        <w:szCs w:val="28"/>
                      </w:rPr>
                      <w:t>—</w:t>
                    </w:r>
                    <w:r>
                      <w:rPr>
                        <w:rFonts w:hint="eastAsia"/>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sidR="00BB7B95">
                      <w:rPr>
                        <w:noProof/>
                        <w:sz w:val="28"/>
                        <w:szCs w:val="28"/>
                      </w:rPr>
                      <w:t>2</w:t>
                    </w:r>
                    <w:r>
                      <w:rPr>
                        <w:sz w:val="28"/>
                        <w:szCs w:val="28"/>
                      </w:rPr>
                      <w:fldChar w:fldCharType="end"/>
                    </w:r>
                    <w:r>
                      <w:rPr>
                        <w:rFonts w:hint="eastAsia"/>
                        <w:sz w:val="28"/>
                        <w:szCs w:val="28"/>
                      </w:rPr>
                      <w:t xml:space="preserve"> </w:t>
                    </w:r>
                    <w:r>
                      <w:rPr>
                        <w:rFonts w:hint="eastAsia"/>
                        <w:sz w:val="28"/>
                        <w:szCs w:val="28"/>
                      </w:rPr>
                      <w:t>—</w:t>
                    </w:r>
                    <w:r>
                      <w:rPr>
                        <w:rFonts w:hint="eastAsia"/>
                        <w:color w:val="FFFFFF"/>
                        <w:sz w:val="28"/>
                        <w:szCs w:val="28"/>
                      </w:rPr>
                      <w:t>—</w:t>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C639C" w:rsidRDefault="007C639C">
      <w:r>
        <w:separator/>
      </w:r>
    </w:p>
  </w:footnote>
  <w:footnote w:type="continuationSeparator" w:id="0">
    <w:p w:rsidR="007C639C" w:rsidRDefault="007C639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2VhMzZlZmQ5ODZmYThhMWY3MjFiZWI4OGE3NjBkMGUifQ=="/>
  </w:docVars>
  <w:rsids>
    <w:rsidRoot w:val="00FA60C8"/>
    <w:rsid w:val="00016D27"/>
    <w:rsid w:val="00016E93"/>
    <w:rsid w:val="00051450"/>
    <w:rsid w:val="00071507"/>
    <w:rsid w:val="000A2989"/>
    <w:rsid w:val="000E0170"/>
    <w:rsid w:val="00101F08"/>
    <w:rsid w:val="001272DF"/>
    <w:rsid w:val="00157D65"/>
    <w:rsid w:val="00164368"/>
    <w:rsid w:val="00186786"/>
    <w:rsid w:val="001B61C4"/>
    <w:rsid w:val="001C492C"/>
    <w:rsid w:val="001D3923"/>
    <w:rsid w:val="001D7B00"/>
    <w:rsid w:val="001F3FB0"/>
    <w:rsid w:val="00204B69"/>
    <w:rsid w:val="00247F9A"/>
    <w:rsid w:val="00277D15"/>
    <w:rsid w:val="002A510C"/>
    <w:rsid w:val="002A7F53"/>
    <w:rsid w:val="002F2CC3"/>
    <w:rsid w:val="00323910"/>
    <w:rsid w:val="003330A7"/>
    <w:rsid w:val="0035031B"/>
    <w:rsid w:val="00351116"/>
    <w:rsid w:val="00352FFE"/>
    <w:rsid w:val="0036326B"/>
    <w:rsid w:val="0037661D"/>
    <w:rsid w:val="003B39B2"/>
    <w:rsid w:val="003B452F"/>
    <w:rsid w:val="003C4A36"/>
    <w:rsid w:val="003D08E2"/>
    <w:rsid w:val="003D78E8"/>
    <w:rsid w:val="003E7CB8"/>
    <w:rsid w:val="003F20E6"/>
    <w:rsid w:val="00405AE4"/>
    <w:rsid w:val="004218DC"/>
    <w:rsid w:val="00453B18"/>
    <w:rsid w:val="004A48F4"/>
    <w:rsid w:val="004A5C4E"/>
    <w:rsid w:val="004D7576"/>
    <w:rsid w:val="004F27D3"/>
    <w:rsid w:val="0050179C"/>
    <w:rsid w:val="005410CE"/>
    <w:rsid w:val="005455A8"/>
    <w:rsid w:val="0056324D"/>
    <w:rsid w:val="00564625"/>
    <w:rsid w:val="0056661D"/>
    <w:rsid w:val="00593C49"/>
    <w:rsid w:val="005B2A3E"/>
    <w:rsid w:val="005B404F"/>
    <w:rsid w:val="005D20CB"/>
    <w:rsid w:val="005D7D24"/>
    <w:rsid w:val="005E7595"/>
    <w:rsid w:val="005F4ADA"/>
    <w:rsid w:val="006052CA"/>
    <w:rsid w:val="00612531"/>
    <w:rsid w:val="006428CA"/>
    <w:rsid w:val="0067038A"/>
    <w:rsid w:val="00673EAB"/>
    <w:rsid w:val="00690209"/>
    <w:rsid w:val="006D3D5E"/>
    <w:rsid w:val="006E0E17"/>
    <w:rsid w:val="00727597"/>
    <w:rsid w:val="00735046"/>
    <w:rsid w:val="00766F07"/>
    <w:rsid w:val="007843CD"/>
    <w:rsid w:val="007B409A"/>
    <w:rsid w:val="007C639C"/>
    <w:rsid w:val="007C72C1"/>
    <w:rsid w:val="007E3EB2"/>
    <w:rsid w:val="007F6C62"/>
    <w:rsid w:val="00802B33"/>
    <w:rsid w:val="008044C1"/>
    <w:rsid w:val="0080591C"/>
    <w:rsid w:val="008300E3"/>
    <w:rsid w:val="008377A6"/>
    <w:rsid w:val="00837FBB"/>
    <w:rsid w:val="00840DEF"/>
    <w:rsid w:val="00845649"/>
    <w:rsid w:val="008457F1"/>
    <w:rsid w:val="00863C35"/>
    <w:rsid w:val="008C461A"/>
    <w:rsid w:val="008C5ECE"/>
    <w:rsid w:val="008C74C4"/>
    <w:rsid w:val="00926229"/>
    <w:rsid w:val="00944679"/>
    <w:rsid w:val="0094647A"/>
    <w:rsid w:val="0097437D"/>
    <w:rsid w:val="009869EE"/>
    <w:rsid w:val="00991BF3"/>
    <w:rsid w:val="009A1829"/>
    <w:rsid w:val="009A2DB4"/>
    <w:rsid w:val="009D7C65"/>
    <w:rsid w:val="009F63A3"/>
    <w:rsid w:val="00A03AD8"/>
    <w:rsid w:val="00A24E9C"/>
    <w:rsid w:val="00A254E3"/>
    <w:rsid w:val="00A351E7"/>
    <w:rsid w:val="00A62362"/>
    <w:rsid w:val="00A639CD"/>
    <w:rsid w:val="00A646C6"/>
    <w:rsid w:val="00A65BFC"/>
    <w:rsid w:val="00A8280B"/>
    <w:rsid w:val="00A82CA2"/>
    <w:rsid w:val="00AA30FC"/>
    <w:rsid w:val="00AC2D33"/>
    <w:rsid w:val="00B11072"/>
    <w:rsid w:val="00B16FFF"/>
    <w:rsid w:val="00B25838"/>
    <w:rsid w:val="00B64617"/>
    <w:rsid w:val="00B84EF7"/>
    <w:rsid w:val="00BA00D5"/>
    <w:rsid w:val="00BA1FC7"/>
    <w:rsid w:val="00BB7B95"/>
    <w:rsid w:val="00BE16F8"/>
    <w:rsid w:val="00C05E89"/>
    <w:rsid w:val="00C1570A"/>
    <w:rsid w:val="00C51B28"/>
    <w:rsid w:val="00C57201"/>
    <w:rsid w:val="00C578A0"/>
    <w:rsid w:val="00C60442"/>
    <w:rsid w:val="00C73515"/>
    <w:rsid w:val="00C92BC0"/>
    <w:rsid w:val="00CA2B21"/>
    <w:rsid w:val="00CC6505"/>
    <w:rsid w:val="00CD27CB"/>
    <w:rsid w:val="00CE7A0B"/>
    <w:rsid w:val="00D03FFD"/>
    <w:rsid w:val="00D53A64"/>
    <w:rsid w:val="00D61B72"/>
    <w:rsid w:val="00DD4D3D"/>
    <w:rsid w:val="00DD5C43"/>
    <w:rsid w:val="00DF1936"/>
    <w:rsid w:val="00E05A99"/>
    <w:rsid w:val="00E21EF7"/>
    <w:rsid w:val="00E41212"/>
    <w:rsid w:val="00E41A1A"/>
    <w:rsid w:val="00E73776"/>
    <w:rsid w:val="00ED2031"/>
    <w:rsid w:val="00F64776"/>
    <w:rsid w:val="00F6624B"/>
    <w:rsid w:val="00F8685B"/>
    <w:rsid w:val="00FA60C8"/>
    <w:rsid w:val="00FD22E5"/>
    <w:rsid w:val="00FD443E"/>
    <w:rsid w:val="00FD754D"/>
    <w:rsid w:val="0B7546FD"/>
    <w:rsid w:val="0BEC7EA0"/>
    <w:rsid w:val="0F9E0E77"/>
    <w:rsid w:val="175605FA"/>
    <w:rsid w:val="1EF66F76"/>
    <w:rsid w:val="1FFF4C8A"/>
    <w:rsid w:val="21FAAB67"/>
    <w:rsid w:val="2A8D465A"/>
    <w:rsid w:val="2DDFB254"/>
    <w:rsid w:val="303501F2"/>
    <w:rsid w:val="3BD79142"/>
    <w:rsid w:val="3D1FDAA9"/>
    <w:rsid w:val="3EFBB74A"/>
    <w:rsid w:val="43E2636A"/>
    <w:rsid w:val="4C1A048F"/>
    <w:rsid w:val="56E77ECB"/>
    <w:rsid w:val="591D3208"/>
    <w:rsid w:val="5D1A18DA"/>
    <w:rsid w:val="5F297A5F"/>
    <w:rsid w:val="5FFFE77A"/>
    <w:rsid w:val="63E446CD"/>
    <w:rsid w:val="672FC525"/>
    <w:rsid w:val="6C5F1D95"/>
    <w:rsid w:val="77EFE1A2"/>
    <w:rsid w:val="77F81C10"/>
    <w:rsid w:val="7AA9B494"/>
    <w:rsid w:val="7D67BE1E"/>
    <w:rsid w:val="7D9F9B13"/>
    <w:rsid w:val="7DBFC873"/>
    <w:rsid w:val="7ECB4F66"/>
    <w:rsid w:val="7ED62E8A"/>
    <w:rsid w:val="7EE7AFCA"/>
    <w:rsid w:val="7FD79D7F"/>
    <w:rsid w:val="9F5F822A"/>
    <w:rsid w:val="B5E9C4D6"/>
    <w:rsid w:val="B6B733B4"/>
    <w:rsid w:val="BFDD0C56"/>
    <w:rsid w:val="BFDFB4EF"/>
    <w:rsid w:val="BFE485FD"/>
    <w:rsid w:val="C7FD4E97"/>
    <w:rsid w:val="CF7E5617"/>
    <w:rsid w:val="D7F35BC8"/>
    <w:rsid w:val="DFE632D5"/>
    <w:rsid w:val="DFFAC55F"/>
    <w:rsid w:val="ECDF5795"/>
    <w:rsid w:val="EEEAFFED"/>
    <w:rsid w:val="EFD702A3"/>
    <w:rsid w:val="F47F0EFD"/>
    <w:rsid w:val="F6F47F5D"/>
    <w:rsid w:val="F7DD2131"/>
    <w:rsid w:val="FA7BFE64"/>
    <w:rsid w:val="FBFBF546"/>
    <w:rsid w:val="FDDFD7FE"/>
    <w:rsid w:val="FDEE7C41"/>
    <w:rsid w:val="FDFC7E7E"/>
    <w:rsid w:val="FDFED03F"/>
    <w:rsid w:val="FEED9227"/>
    <w:rsid w:val="FF574E32"/>
    <w:rsid w:val="FF7666E8"/>
    <w:rsid w:val="FFF16CF0"/>
    <w:rsid w:val="FFF7F1E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0AC9998A-A792-4AB3-8207-B9AFF2C774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Document Map" w:semiHidden="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semiHidden="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semiHidden/>
  </w:style>
  <w:style w:type="table" w:default="1" w:styleId="a1">
    <w:name w:val="Normal Table"/>
    <w:semiHidden/>
    <w:tblPr>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semiHidden/>
    <w:pPr>
      <w:shd w:val="clear" w:color="auto" w:fill="000080"/>
    </w:pPr>
  </w:style>
  <w:style w:type="paragraph" w:styleId="a4">
    <w:name w:val="annotation text"/>
    <w:basedOn w:val="a"/>
    <w:pPr>
      <w:jc w:val="left"/>
    </w:pPr>
  </w:style>
  <w:style w:type="paragraph" w:styleId="a5">
    <w:name w:val="Balloon Text"/>
    <w:basedOn w:val="a"/>
    <w:semiHidden/>
    <w:rPr>
      <w:sz w:val="18"/>
      <w:szCs w:val="18"/>
    </w:rPr>
  </w:style>
  <w:style w:type="paragraph" w:styleId="a6">
    <w:name w:val="footer"/>
    <w:basedOn w:val="a"/>
    <w:link w:val="Char"/>
    <w:uiPriority w:val="99"/>
    <w:pPr>
      <w:tabs>
        <w:tab w:val="center" w:pos="4153"/>
        <w:tab w:val="right" w:pos="8306"/>
      </w:tabs>
      <w:snapToGrid w:val="0"/>
      <w:jc w:val="left"/>
    </w:pPr>
    <w:rPr>
      <w:sz w:val="18"/>
      <w:szCs w:val="18"/>
    </w:rPr>
  </w:style>
  <w:style w:type="character" w:customStyle="1" w:styleId="Char">
    <w:name w:val="页脚 Char"/>
    <w:link w:val="a6"/>
    <w:uiPriority w:val="99"/>
    <w:rPr>
      <w:kern w:val="2"/>
      <w:sz w:val="18"/>
      <w:szCs w:val="18"/>
    </w:rPr>
  </w:style>
  <w:style w:type="paragraph" w:styleId="a7">
    <w:name w:val="header"/>
    <w:basedOn w:val="a"/>
    <w:link w:val="Char0"/>
    <w:uiPriority w:val="99"/>
    <w:pPr>
      <w:pBdr>
        <w:bottom w:val="single" w:sz="6" w:space="1" w:color="auto"/>
      </w:pBdr>
      <w:tabs>
        <w:tab w:val="center" w:pos="4153"/>
        <w:tab w:val="right" w:pos="8306"/>
      </w:tabs>
      <w:snapToGrid w:val="0"/>
      <w:jc w:val="center"/>
    </w:pPr>
    <w:rPr>
      <w:sz w:val="18"/>
      <w:szCs w:val="18"/>
    </w:rPr>
  </w:style>
  <w:style w:type="character" w:customStyle="1" w:styleId="Char0">
    <w:name w:val="页眉 Char"/>
    <w:link w:val="a7"/>
    <w:uiPriority w:val="99"/>
    <w:rPr>
      <w:kern w:val="2"/>
      <w:sz w:val="18"/>
      <w:szCs w:val="18"/>
    </w:rPr>
  </w:style>
  <w:style w:type="table" w:styleId="a8">
    <w:name w:val="Table Grid"/>
    <w:basedOn w:val="a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age number"/>
    <w:basedOn w:val="a0"/>
  </w:style>
  <w:style w:type="paragraph" w:customStyle="1" w:styleId="aa">
    <w:name w:val="段"/>
    <w:qFormat/>
    <w:pPr>
      <w:autoSpaceDE w:val="0"/>
      <w:autoSpaceDN w:val="0"/>
      <w:ind w:firstLineChars="200" w:firstLine="200"/>
      <w:jc w:val="both"/>
    </w:pPr>
    <w:rPr>
      <w:rFonts w:ascii="宋体"/>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encoding w:val="x-cp20936"/>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100</Words>
  <Characters>570</Characters>
  <Application>Microsoft Office Word</Application>
  <DocSecurity>0</DocSecurity>
  <Lines>4</Lines>
  <Paragraphs>1</Paragraphs>
  <ScaleCrop>false</ScaleCrop>
  <Company>Xtzj.Com</Company>
  <LinksUpToDate>false</LinksUpToDate>
  <CharactersWithSpaces>669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（局发文式样）</dc:title>
  <dc:subject/>
  <dc:creator>Xtzj.User</dc:creator>
  <cp:keywords/>
  <cp:lastModifiedBy>pc</cp:lastModifiedBy>
  <cp:revision>2</cp:revision>
  <cp:lastPrinted>2023-05-20T17:55:00Z</cp:lastPrinted>
  <dcterms:created xsi:type="dcterms:W3CDTF">2023-05-23T02:03:00Z</dcterms:created>
  <dcterms:modified xsi:type="dcterms:W3CDTF">2023-05-23T02:03:00Z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2052-11.8.2.10422</vt:lpwstr>
  </property>
  <property fmtid="{D5CDD505-2E9C-101B-9397-08002B2CF9AE}" pid="3" name="ICV">
    <vt:lpwstr>F5DA68EFF1BF447BABB122A812198A2D</vt:lpwstr>
  </property>
</Properties>
</file>